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E82" w:rsidRDefault="00D248E2" w:rsidP="001E77B9">
      <w:pPr>
        <w:spacing w:before="120" w:after="120"/>
        <w:jc w:val="left"/>
        <w:rPr>
          <w:rFonts w:ascii="Arial" w:hAnsi="Arial" w:cs="Arial"/>
          <w:color w:val="222222"/>
          <w:sz w:val="28"/>
          <w:szCs w:val="28"/>
          <w:shd w:val="clear" w:color="auto" w:fill="FFFFFF"/>
        </w:rPr>
      </w:pPr>
      <w:r>
        <w:rPr>
          <w:rFonts w:ascii="Arial" w:hAnsi="Arial" w:cs="Arial"/>
          <w:color w:val="222222"/>
          <w:sz w:val="28"/>
          <w:szCs w:val="28"/>
          <w:shd w:val="clear" w:color="auto" w:fill="FFFFFF"/>
        </w:rPr>
        <w:t>Asset Allocation &amp; Alternative Assets</w:t>
      </w:r>
    </w:p>
    <w:p w:rsidR="00D248E2" w:rsidRDefault="00D248E2" w:rsidP="001638AE">
      <w:pPr>
        <w:spacing w:before="120" w:after="120"/>
        <w:jc w:val="left"/>
        <w:rPr>
          <w:rFonts w:ascii="Arial" w:hAnsi="Arial" w:cs="Arial"/>
          <w:sz w:val="18"/>
          <w:szCs w:val="18"/>
        </w:rPr>
      </w:pPr>
      <w:r>
        <w:rPr>
          <w:rFonts w:ascii="Arial" w:hAnsi="Arial" w:cs="Arial"/>
          <w:sz w:val="18"/>
          <w:szCs w:val="18"/>
        </w:rPr>
        <w:t>With traditional assets experiencing high levels of volatility, investors are concerned with how to better manage the risk to capital and the income expectations of each asset class.</w:t>
      </w:r>
    </w:p>
    <w:p w:rsidR="00533A58" w:rsidRDefault="00D248E2" w:rsidP="001638AE">
      <w:pPr>
        <w:spacing w:before="120" w:after="120"/>
        <w:jc w:val="left"/>
        <w:rPr>
          <w:rFonts w:ascii="Arial" w:hAnsi="Arial" w:cs="Arial"/>
          <w:sz w:val="18"/>
          <w:szCs w:val="18"/>
        </w:rPr>
      </w:pPr>
      <w:r>
        <w:rPr>
          <w:rFonts w:ascii="Arial" w:hAnsi="Arial" w:cs="Arial"/>
          <w:sz w:val="18"/>
          <w:szCs w:val="18"/>
        </w:rPr>
        <w:t xml:space="preserve">Alternative Assets are generally </w:t>
      </w:r>
      <w:r w:rsidR="00533A58">
        <w:rPr>
          <w:rFonts w:ascii="Arial" w:hAnsi="Arial" w:cs="Arial"/>
          <w:sz w:val="18"/>
          <w:szCs w:val="18"/>
        </w:rPr>
        <w:t xml:space="preserve">non-traditional assets. They may derive their returns from sources that have links back to traditional assets such as shares and bonds but do not necessarily hold any of these assets directly. Instead the modern market offers many access points to gain market exposure to a variety of different assets such as currency and commodities. The same old principles apply: buy low and sell high but the opportunity set is quite broad. </w:t>
      </w:r>
    </w:p>
    <w:p w:rsidR="00D248E2" w:rsidRDefault="00533A58" w:rsidP="001638AE">
      <w:pPr>
        <w:spacing w:before="120" w:after="120"/>
        <w:jc w:val="left"/>
        <w:rPr>
          <w:rFonts w:ascii="Arial" w:hAnsi="Arial" w:cs="Arial"/>
          <w:sz w:val="18"/>
          <w:szCs w:val="18"/>
        </w:rPr>
      </w:pPr>
      <w:r>
        <w:rPr>
          <w:rFonts w:ascii="Arial" w:hAnsi="Arial" w:cs="Arial"/>
          <w:sz w:val="18"/>
          <w:szCs w:val="18"/>
        </w:rPr>
        <w:t xml:space="preserve">A key differentiator with non-traditional assets is that they offer further diversification to a client portfolio. At the moment, shares and bonds globally are being impacted by the aftershocks of the GFC and other global conflicts. The low interest rate environment and the search for yield is forcing investors into chasing returns from familiar sources but this is driving the valuations of some of those sources into unrealistic levels and the downside risks are becoming too great to accept from a risk verses return perspective. So where do you look for Alternatives? </w:t>
      </w:r>
    </w:p>
    <w:p w:rsidR="00D248E2" w:rsidRDefault="00D248E2" w:rsidP="001638AE">
      <w:pPr>
        <w:spacing w:before="120" w:after="120"/>
        <w:jc w:val="left"/>
        <w:rPr>
          <w:rFonts w:ascii="Arial" w:hAnsi="Arial" w:cs="Arial"/>
          <w:sz w:val="18"/>
          <w:szCs w:val="18"/>
        </w:rPr>
      </w:pPr>
      <w:r>
        <w:rPr>
          <w:rFonts w:ascii="Arial" w:hAnsi="Arial" w:cs="Arial"/>
          <w:sz w:val="18"/>
          <w:szCs w:val="18"/>
        </w:rPr>
        <w:t>There are two potential areas within a client portfolio where Alternative Assets can help</w:t>
      </w:r>
      <w:r w:rsidR="00533A58">
        <w:rPr>
          <w:rFonts w:ascii="Arial" w:hAnsi="Arial" w:cs="Arial"/>
          <w:sz w:val="18"/>
          <w:szCs w:val="18"/>
        </w:rPr>
        <w:t xml:space="preserve"> mitigate some of these risks</w:t>
      </w:r>
      <w:r>
        <w:rPr>
          <w:rFonts w:ascii="Arial" w:hAnsi="Arial" w:cs="Arial"/>
          <w:sz w:val="18"/>
          <w:szCs w:val="18"/>
        </w:rPr>
        <w:t>:</w:t>
      </w:r>
    </w:p>
    <w:p w:rsidR="00D248E2" w:rsidRPr="00D248E2" w:rsidRDefault="00D248E2" w:rsidP="00D248E2">
      <w:pPr>
        <w:pStyle w:val="ListParagraph"/>
        <w:numPr>
          <w:ilvl w:val="0"/>
          <w:numId w:val="1"/>
        </w:numPr>
        <w:spacing w:before="120" w:after="120"/>
        <w:jc w:val="left"/>
        <w:rPr>
          <w:rFonts w:ascii="Arial" w:hAnsi="Arial" w:cs="Arial"/>
          <w:sz w:val="18"/>
          <w:szCs w:val="18"/>
        </w:rPr>
      </w:pPr>
      <w:r w:rsidRPr="00D248E2">
        <w:rPr>
          <w:rFonts w:ascii="Arial" w:hAnsi="Arial" w:cs="Arial"/>
          <w:sz w:val="18"/>
          <w:szCs w:val="18"/>
        </w:rPr>
        <w:t>Growth Assets; and</w:t>
      </w:r>
    </w:p>
    <w:p w:rsidR="00B15351" w:rsidRPr="00D248E2" w:rsidRDefault="00D248E2" w:rsidP="00D248E2">
      <w:pPr>
        <w:pStyle w:val="ListParagraph"/>
        <w:numPr>
          <w:ilvl w:val="0"/>
          <w:numId w:val="1"/>
        </w:numPr>
        <w:spacing w:before="120" w:after="120"/>
        <w:jc w:val="left"/>
        <w:rPr>
          <w:rFonts w:ascii="Arial" w:hAnsi="Arial" w:cs="Arial"/>
          <w:sz w:val="18"/>
          <w:szCs w:val="18"/>
        </w:rPr>
      </w:pPr>
      <w:r w:rsidRPr="00D248E2">
        <w:rPr>
          <w:rFonts w:ascii="Arial" w:hAnsi="Arial" w:cs="Arial"/>
          <w:sz w:val="18"/>
          <w:szCs w:val="18"/>
        </w:rPr>
        <w:t xml:space="preserve">Defensive Assets </w:t>
      </w:r>
    </w:p>
    <w:p w:rsidR="00B15351" w:rsidRPr="00302F73" w:rsidRDefault="00533A58" w:rsidP="001638AE">
      <w:pPr>
        <w:spacing w:before="120" w:after="120"/>
        <w:jc w:val="left"/>
        <w:rPr>
          <w:rFonts w:ascii="Arial" w:hAnsi="Arial" w:cs="Arial"/>
          <w:b/>
          <w:sz w:val="18"/>
          <w:szCs w:val="18"/>
        </w:rPr>
      </w:pPr>
      <w:r w:rsidRPr="00302F73">
        <w:rPr>
          <w:rFonts w:ascii="Arial" w:hAnsi="Arial" w:cs="Arial"/>
          <w:b/>
          <w:sz w:val="18"/>
          <w:szCs w:val="18"/>
        </w:rPr>
        <w:t>Growth Asset Alternatives</w:t>
      </w:r>
    </w:p>
    <w:p w:rsidR="00533A58" w:rsidRDefault="00C501E8" w:rsidP="001638AE">
      <w:pPr>
        <w:spacing w:before="120" w:after="120"/>
        <w:jc w:val="left"/>
        <w:rPr>
          <w:rFonts w:ascii="Arial" w:hAnsi="Arial" w:cs="Arial"/>
          <w:sz w:val="18"/>
          <w:szCs w:val="18"/>
        </w:rPr>
      </w:pPr>
      <w:r>
        <w:rPr>
          <w:rFonts w:ascii="Arial" w:hAnsi="Arial" w:cs="Arial"/>
          <w:sz w:val="18"/>
          <w:szCs w:val="18"/>
        </w:rPr>
        <w:t xml:space="preserve">I consider Growth Alternatives as market exposure that derive their underlying exposures from physical assets that have a growth bias. </w:t>
      </w:r>
      <w:r w:rsidR="00220F00">
        <w:rPr>
          <w:rFonts w:ascii="Arial" w:hAnsi="Arial" w:cs="Arial"/>
          <w:sz w:val="18"/>
          <w:szCs w:val="18"/>
        </w:rPr>
        <w:t>Assets on this side of a client’s portfolio (shares and property) are expected to derive their returns from the growth in price of the underlying assets together with, a level of income from company dividends or rental receipts from property assets. Growth Alternatives e</w:t>
      </w:r>
      <w:r>
        <w:rPr>
          <w:rFonts w:ascii="Arial" w:hAnsi="Arial" w:cs="Arial"/>
          <w:sz w:val="18"/>
          <w:szCs w:val="18"/>
        </w:rPr>
        <w:t>xposure includes:</w:t>
      </w:r>
    </w:p>
    <w:p w:rsidR="00C501E8" w:rsidRDefault="00C501E8" w:rsidP="00C501E8">
      <w:pPr>
        <w:pStyle w:val="ListParagraph"/>
        <w:numPr>
          <w:ilvl w:val="0"/>
          <w:numId w:val="2"/>
        </w:numPr>
        <w:spacing w:before="120" w:after="120"/>
        <w:jc w:val="left"/>
        <w:rPr>
          <w:rFonts w:ascii="Arial" w:hAnsi="Arial" w:cs="Arial"/>
          <w:sz w:val="18"/>
          <w:szCs w:val="18"/>
        </w:rPr>
      </w:pPr>
      <w:r w:rsidRPr="00C501E8">
        <w:rPr>
          <w:rFonts w:ascii="Arial" w:hAnsi="Arial" w:cs="Arial"/>
          <w:sz w:val="18"/>
          <w:szCs w:val="18"/>
        </w:rPr>
        <w:t>Private Equity;</w:t>
      </w:r>
    </w:p>
    <w:p w:rsidR="006F3637" w:rsidRPr="00C501E8" w:rsidRDefault="006F3637" w:rsidP="00C501E8">
      <w:pPr>
        <w:pStyle w:val="ListParagraph"/>
        <w:numPr>
          <w:ilvl w:val="0"/>
          <w:numId w:val="2"/>
        </w:numPr>
        <w:spacing w:before="120" w:after="120"/>
        <w:jc w:val="left"/>
        <w:rPr>
          <w:rFonts w:ascii="Arial" w:hAnsi="Arial" w:cs="Arial"/>
          <w:sz w:val="18"/>
          <w:szCs w:val="18"/>
        </w:rPr>
      </w:pPr>
      <w:r>
        <w:rPr>
          <w:rFonts w:ascii="Arial" w:hAnsi="Arial" w:cs="Arial"/>
          <w:sz w:val="18"/>
          <w:szCs w:val="18"/>
        </w:rPr>
        <w:t>Long / Short Equity;</w:t>
      </w:r>
    </w:p>
    <w:p w:rsidR="00C501E8" w:rsidRPr="00C501E8" w:rsidRDefault="00C501E8" w:rsidP="00C501E8">
      <w:pPr>
        <w:pStyle w:val="ListParagraph"/>
        <w:numPr>
          <w:ilvl w:val="0"/>
          <w:numId w:val="2"/>
        </w:numPr>
        <w:spacing w:before="120" w:after="120"/>
        <w:jc w:val="left"/>
        <w:rPr>
          <w:rFonts w:ascii="Arial" w:hAnsi="Arial" w:cs="Arial"/>
          <w:sz w:val="18"/>
          <w:szCs w:val="18"/>
        </w:rPr>
      </w:pPr>
      <w:r w:rsidRPr="00C501E8">
        <w:rPr>
          <w:rFonts w:ascii="Arial" w:hAnsi="Arial" w:cs="Arial"/>
          <w:sz w:val="18"/>
          <w:szCs w:val="18"/>
        </w:rPr>
        <w:t>Infrastructure</w:t>
      </w:r>
      <w:r>
        <w:rPr>
          <w:rFonts w:ascii="Arial" w:hAnsi="Arial" w:cs="Arial"/>
          <w:sz w:val="18"/>
          <w:szCs w:val="18"/>
        </w:rPr>
        <w:t>;</w:t>
      </w:r>
    </w:p>
    <w:p w:rsidR="00C501E8" w:rsidRPr="00C501E8" w:rsidRDefault="00C501E8" w:rsidP="00C501E8">
      <w:pPr>
        <w:pStyle w:val="ListParagraph"/>
        <w:numPr>
          <w:ilvl w:val="0"/>
          <w:numId w:val="2"/>
        </w:numPr>
        <w:spacing w:before="120" w:after="120"/>
        <w:jc w:val="left"/>
        <w:rPr>
          <w:rFonts w:ascii="Arial" w:hAnsi="Arial" w:cs="Arial"/>
          <w:sz w:val="18"/>
          <w:szCs w:val="18"/>
        </w:rPr>
      </w:pPr>
      <w:r w:rsidRPr="00C501E8">
        <w:rPr>
          <w:rFonts w:ascii="Arial" w:hAnsi="Arial" w:cs="Arial"/>
          <w:sz w:val="18"/>
          <w:szCs w:val="18"/>
        </w:rPr>
        <w:t>Commodities; and</w:t>
      </w:r>
    </w:p>
    <w:p w:rsidR="00C501E8" w:rsidRPr="00C501E8" w:rsidRDefault="00C501E8" w:rsidP="00C501E8">
      <w:pPr>
        <w:pStyle w:val="ListParagraph"/>
        <w:numPr>
          <w:ilvl w:val="0"/>
          <w:numId w:val="2"/>
        </w:numPr>
        <w:spacing w:before="120" w:after="120"/>
        <w:jc w:val="left"/>
        <w:rPr>
          <w:rFonts w:ascii="Arial" w:hAnsi="Arial" w:cs="Arial"/>
          <w:sz w:val="18"/>
          <w:szCs w:val="18"/>
        </w:rPr>
      </w:pPr>
      <w:r w:rsidRPr="00C501E8">
        <w:rPr>
          <w:rFonts w:ascii="Arial" w:hAnsi="Arial" w:cs="Arial"/>
          <w:sz w:val="18"/>
          <w:szCs w:val="18"/>
        </w:rPr>
        <w:t>Currency.</w:t>
      </w:r>
    </w:p>
    <w:p w:rsidR="00533A58" w:rsidRPr="00302F73" w:rsidRDefault="00533A58" w:rsidP="001638AE">
      <w:pPr>
        <w:spacing w:before="120" w:after="120"/>
        <w:jc w:val="left"/>
        <w:rPr>
          <w:rFonts w:ascii="Arial" w:hAnsi="Arial" w:cs="Arial"/>
          <w:b/>
          <w:sz w:val="18"/>
          <w:szCs w:val="18"/>
        </w:rPr>
      </w:pPr>
      <w:r w:rsidRPr="00302F73">
        <w:rPr>
          <w:rFonts w:ascii="Arial" w:hAnsi="Arial" w:cs="Arial"/>
          <w:b/>
          <w:sz w:val="18"/>
          <w:szCs w:val="18"/>
        </w:rPr>
        <w:t>Defensive Asset Alternatives</w:t>
      </w:r>
    </w:p>
    <w:p w:rsidR="00B15351" w:rsidRDefault="00C501E8" w:rsidP="001638AE">
      <w:pPr>
        <w:spacing w:before="120" w:after="120"/>
        <w:jc w:val="left"/>
        <w:rPr>
          <w:rFonts w:ascii="Arial" w:hAnsi="Arial" w:cs="Arial"/>
          <w:sz w:val="18"/>
          <w:szCs w:val="18"/>
        </w:rPr>
      </w:pPr>
      <w:r>
        <w:rPr>
          <w:rFonts w:ascii="Arial" w:hAnsi="Arial" w:cs="Arial"/>
          <w:sz w:val="18"/>
          <w:szCs w:val="18"/>
        </w:rPr>
        <w:t>The income return source best describes how I look at this side of a client’s portfolio. If there is a cash return paid regularly and the underlying asset valuation displays similar characteristics in terms of volatility to the existing assets (bonds and cash) then the use of such strategies would appear attractive especially if they are able to consistently deliver return outcomes higher than the traditional assets without the price volatility</w:t>
      </w:r>
      <w:r w:rsidR="00220F00">
        <w:rPr>
          <w:rFonts w:ascii="Arial" w:hAnsi="Arial" w:cs="Arial"/>
          <w:sz w:val="18"/>
          <w:szCs w:val="18"/>
        </w:rPr>
        <w:t xml:space="preserve"> of riskier assets. Defensive exposure includes:</w:t>
      </w:r>
    </w:p>
    <w:p w:rsidR="00220F00" w:rsidRDefault="00220F00" w:rsidP="00220F00">
      <w:pPr>
        <w:pStyle w:val="ListParagraph"/>
        <w:numPr>
          <w:ilvl w:val="0"/>
          <w:numId w:val="3"/>
        </w:numPr>
        <w:spacing w:before="120" w:after="120"/>
        <w:jc w:val="left"/>
        <w:rPr>
          <w:rFonts w:ascii="Arial" w:hAnsi="Arial" w:cs="Arial"/>
          <w:sz w:val="18"/>
          <w:szCs w:val="18"/>
        </w:rPr>
      </w:pPr>
      <w:r>
        <w:rPr>
          <w:rFonts w:ascii="Arial" w:hAnsi="Arial" w:cs="Arial"/>
          <w:sz w:val="18"/>
          <w:szCs w:val="18"/>
        </w:rPr>
        <w:t>Hedge Funds;</w:t>
      </w:r>
    </w:p>
    <w:p w:rsidR="00220F00" w:rsidRDefault="00220F00" w:rsidP="00220F00">
      <w:pPr>
        <w:pStyle w:val="ListParagraph"/>
        <w:numPr>
          <w:ilvl w:val="0"/>
          <w:numId w:val="3"/>
        </w:numPr>
        <w:spacing w:before="120" w:after="120"/>
        <w:jc w:val="left"/>
        <w:rPr>
          <w:rFonts w:ascii="Arial" w:hAnsi="Arial" w:cs="Arial"/>
          <w:sz w:val="18"/>
          <w:szCs w:val="18"/>
        </w:rPr>
      </w:pPr>
      <w:r>
        <w:rPr>
          <w:rFonts w:ascii="Arial" w:hAnsi="Arial" w:cs="Arial"/>
          <w:sz w:val="18"/>
          <w:szCs w:val="18"/>
        </w:rPr>
        <w:t>Mortgages; and</w:t>
      </w:r>
    </w:p>
    <w:p w:rsidR="00220F00" w:rsidRPr="00220F00" w:rsidRDefault="00220F00" w:rsidP="00220F00">
      <w:pPr>
        <w:pStyle w:val="ListParagraph"/>
        <w:numPr>
          <w:ilvl w:val="0"/>
          <w:numId w:val="3"/>
        </w:numPr>
        <w:spacing w:before="120" w:after="120"/>
        <w:jc w:val="left"/>
        <w:rPr>
          <w:rFonts w:ascii="Arial" w:hAnsi="Arial" w:cs="Arial"/>
          <w:sz w:val="18"/>
          <w:szCs w:val="18"/>
        </w:rPr>
      </w:pPr>
      <w:r>
        <w:rPr>
          <w:rFonts w:ascii="Arial" w:hAnsi="Arial" w:cs="Arial"/>
          <w:sz w:val="18"/>
          <w:szCs w:val="18"/>
        </w:rPr>
        <w:t>Credit.</w:t>
      </w:r>
    </w:p>
    <w:p w:rsidR="00B457B8" w:rsidRPr="00302F73" w:rsidRDefault="00B457B8" w:rsidP="001638AE">
      <w:pPr>
        <w:spacing w:before="120" w:after="120"/>
        <w:jc w:val="left"/>
        <w:rPr>
          <w:rFonts w:ascii="Arial" w:hAnsi="Arial" w:cs="Arial"/>
          <w:b/>
          <w:sz w:val="18"/>
          <w:szCs w:val="18"/>
        </w:rPr>
      </w:pPr>
      <w:r w:rsidRPr="00302F73">
        <w:rPr>
          <w:rFonts w:ascii="Arial" w:hAnsi="Arial" w:cs="Arial"/>
          <w:b/>
          <w:sz w:val="18"/>
          <w:szCs w:val="18"/>
        </w:rPr>
        <w:t>Asset Allocation</w:t>
      </w:r>
    </w:p>
    <w:p w:rsidR="00616DE7" w:rsidRDefault="00C609F5" w:rsidP="001638AE">
      <w:pPr>
        <w:spacing w:before="120" w:after="120"/>
        <w:jc w:val="left"/>
        <w:rPr>
          <w:rFonts w:ascii="Arial" w:hAnsi="Arial" w:cs="Arial"/>
          <w:sz w:val="18"/>
          <w:szCs w:val="18"/>
        </w:rPr>
      </w:pPr>
      <w:r>
        <w:rPr>
          <w:rFonts w:ascii="Arial" w:hAnsi="Arial" w:cs="Arial"/>
          <w:sz w:val="18"/>
          <w:szCs w:val="18"/>
        </w:rPr>
        <w:t>Many Asset Allocation constraints are imposed to limit the exposure to Alternative Assets due to the sophistication of the underlying exposures which for hedge funds, may involve complex derivatives such as options, futures, swaps and currency exposure derived from listed exchanges or direct from financial counterparties (banks) via over the counter contracts.</w:t>
      </w:r>
      <w:r w:rsidR="00B457B8">
        <w:rPr>
          <w:rFonts w:ascii="Arial" w:hAnsi="Arial" w:cs="Arial"/>
          <w:sz w:val="18"/>
          <w:szCs w:val="18"/>
        </w:rPr>
        <w:t xml:space="preserve"> </w:t>
      </w:r>
    </w:p>
    <w:p w:rsidR="00220F00" w:rsidRDefault="00616DE7" w:rsidP="001638AE">
      <w:pPr>
        <w:spacing w:before="120" w:after="120"/>
        <w:jc w:val="left"/>
        <w:rPr>
          <w:rFonts w:ascii="Arial" w:hAnsi="Arial" w:cs="Arial"/>
          <w:sz w:val="18"/>
          <w:szCs w:val="18"/>
        </w:rPr>
      </w:pPr>
      <w:r>
        <w:rPr>
          <w:rFonts w:ascii="Arial" w:hAnsi="Arial" w:cs="Arial"/>
          <w:sz w:val="18"/>
          <w:szCs w:val="18"/>
        </w:rPr>
        <w:t>T</w:t>
      </w:r>
      <w:r w:rsidR="00B457B8">
        <w:rPr>
          <w:rFonts w:ascii="Arial" w:hAnsi="Arial" w:cs="Arial"/>
          <w:sz w:val="18"/>
          <w:szCs w:val="18"/>
        </w:rPr>
        <w:t xml:space="preserve">he exposure to Alternative Assets is </w:t>
      </w:r>
      <w:r>
        <w:rPr>
          <w:rFonts w:ascii="Arial" w:hAnsi="Arial" w:cs="Arial"/>
          <w:sz w:val="18"/>
          <w:szCs w:val="18"/>
        </w:rPr>
        <w:t xml:space="preserve">generally </w:t>
      </w:r>
      <w:r w:rsidR="00B457B8">
        <w:rPr>
          <w:rFonts w:ascii="Arial" w:hAnsi="Arial" w:cs="Arial"/>
          <w:sz w:val="18"/>
          <w:szCs w:val="18"/>
        </w:rPr>
        <w:t xml:space="preserve">limited to the maximum Tactical Asset Allocation (TAA) allowed </w:t>
      </w:r>
      <w:r>
        <w:rPr>
          <w:rFonts w:ascii="Arial" w:hAnsi="Arial" w:cs="Arial"/>
          <w:sz w:val="18"/>
          <w:szCs w:val="18"/>
        </w:rPr>
        <w:t xml:space="preserve">from the Strategic Asset Allocation (SAA) </w:t>
      </w:r>
      <w:r w:rsidR="00B457B8">
        <w:rPr>
          <w:rFonts w:ascii="Arial" w:hAnsi="Arial" w:cs="Arial"/>
          <w:sz w:val="18"/>
          <w:szCs w:val="18"/>
        </w:rPr>
        <w:t xml:space="preserve">and constrained by the Growth/Defensive split for each risk profile. </w:t>
      </w:r>
    </w:p>
    <w:p w:rsidR="00D8253D" w:rsidRDefault="00C8092D" w:rsidP="001638AE">
      <w:pPr>
        <w:spacing w:before="120" w:after="120"/>
        <w:jc w:val="left"/>
        <w:rPr>
          <w:rFonts w:ascii="Arial" w:hAnsi="Arial" w:cs="Arial"/>
          <w:sz w:val="18"/>
          <w:szCs w:val="18"/>
        </w:rPr>
      </w:pPr>
      <w:r>
        <w:rPr>
          <w:rFonts w:ascii="Arial" w:hAnsi="Arial" w:cs="Arial"/>
          <w:sz w:val="18"/>
          <w:szCs w:val="18"/>
        </w:rPr>
        <w:t xml:space="preserve">For example, a 70% Growth / 30% Defensive portfolio, with a maximum TAA tilt for each asset class of 10%, the maximum amount of </w:t>
      </w:r>
      <w:r w:rsidR="00D8253D">
        <w:rPr>
          <w:rFonts w:ascii="Arial" w:hAnsi="Arial" w:cs="Arial"/>
          <w:sz w:val="18"/>
          <w:szCs w:val="18"/>
        </w:rPr>
        <w:t xml:space="preserve">Alternative Asset </w:t>
      </w:r>
      <w:r>
        <w:rPr>
          <w:rFonts w:ascii="Arial" w:hAnsi="Arial" w:cs="Arial"/>
          <w:sz w:val="18"/>
          <w:szCs w:val="18"/>
        </w:rPr>
        <w:t xml:space="preserve">exposure would be </w:t>
      </w:r>
      <w:r w:rsidR="00D8253D">
        <w:rPr>
          <w:rFonts w:ascii="Arial" w:hAnsi="Arial" w:cs="Arial"/>
          <w:sz w:val="18"/>
          <w:szCs w:val="18"/>
        </w:rPr>
        <w:t>10% if the SAA did not have a specific weight allocated to Alternatives.</w:t>
      </w:r>
    </w:p>
    <w:p w:rsidR="00C609F5" w:rsidRDefault="00D8253D" w:rsidP="001638AE">
      <w:pPr>
        <w:spacing w:before="120" w:after="120"/>
        <w:jc w:val="left"/>
        <w:rPr>
          <w:rFonts w:ascii="Arial" w:hAnsi="Arial" w:cs="Arial"/>
          <w:sz w:val="18"/>
          <w:szCs w:val="18"/>
        </w:rPr>
      </w:pPr>
      <w:r>
        <w:rPr>
          <w:rFonts w:ascii="Arial" w:hAnsi="Arial" w:cs="Arial"/>
          <w:sz w:val="18"/>
          <w:szCs w:val="18"/>
        </w:rPr>
        <w:t>This also means that the maximum tilt between Growth Assets and Defensive Assets is also 10%.</w:t>
      </w:r>
      <w:r w:rsidR="00C8092D">
        <w:rPr>
          <w:rFonts w:ascii="Arial" w:hAnsi="Arial" w:cs="Arial"/>
          <w:sz w:val="18"/>
          <w:szCs w:val="18"/>
        </w:rPr>
        <w:t xml:space="preserve"> </w:t>
      </w:r>
      <w:r>
        <w:rPr>
          <w:rFonts w:ascii="Arial" w:hAnsi="Arial" w:cs="Arial"/>
          <w:sz w:val="18"/>
          <w:szCs w:val="18"/>
        </w:rPr>
        <w:t xml:space="preserve">So in the event an external shock such as the GFC was experienced again, the maximum asset class risk exposure to Growth assets an adviser could take off the table would be 10%. The portfolio could be adjusted to sell down share exposure and buy Alternative Growth exposure to the maximum of 10% as well as sell down shares and re-invest in bonds to the maximum extent of 10%. This would mean that potentially a 20% underweight to shares would be possible if taken from 10% </w:t>
      </w:r>
      <w:r w:rsidR="008E7CF3">
        <w:rPr>
          <w:rFonts w:ascii="Arial" w:hAnsi="Arial" w:cs="Arial"/>
          <w:sz w:val="18"/>
          <w:szCs w:val="18"/>
        </w:rPr>
        <w:t>g</w:t>
      </w:r>
      <w:r>
        <w:rPr>
          <w:rFonts w:ascii="Arial" w:hAnsi="Arial" w:cs="Arial"/>
          <w:sz w:val="18"/>
          <w:szCs w:val="18"/>
        </w:rPr>
        <w:t xml:space="preserve">lobal shares and 10% domestic shares and buying 10% Alternative Growth assets and re-weighting </w:t>
      </w:r>
      <w:r w:rsidR="008E7CF3">
        <w:rPr>
          <w:rFonts w:ascii="Arial" w:hAnsi="Arial" w:cs="Arial"/>
          <w:sz w:val="18"/>
          <w:szCs w:val="18"/>
        </w:rPr>
        <w:t xml:space="preserve">the maximum </w:t>
      </w:r>
      <w:r>
        <w:rPr>
          <w:rFonts w:ascii="Arial" w:hAnsi="Arial" w:cs="Arial"/>
          <w:sz w:val="18"/>
          <w:szCs w:val="18"/>
        </w:rPr>
        <w:t>10% into Defensive assets</w:t>
      </w:r>
      <w:r w:rsidR="008E7CF3">
        <w:rPr>
          <w:rFonts w:ascii="Arial" w:hAnsi="Arial" w:cs="Arial"/>
          <w:sz w:val="18"/>
          <w:szCs w:val="18"/>
        </w:rPr>
        <w:t>.</w:t>
      </w:r>
    </w:p>
    <w:p w:rsidR="00B457B8" w:rsidRDefault="008E7CF3" w:rsidP="001638AE">
      <w:pPr>
        <w:spacing w:before="120" w:after="120"/>
        <w:jc w:val="left"/>
        <w:rPr>
          <w:rFonts w:ascii="Arial" w:hAnsi="Arial" w:cs="Arial"/>
          <w:sz w:val="18"/>
          <w:szCs w:val="18"/>
        </w:rPr>
      </w:pPr>
      <w:r>
        <w:rPr>
          <w:rFonts w:ascii="Arial" w:hAnsi="Arial" w:cs="Arial"/>
          <w:sz w:val="18"/>
          <w:szCs w:val="18"/>
        </w:rPr>
        <w:lastRenderedPageBreak/>
        <w:t>For Example:</w:t>
      </w:r>
    </w:p>
    <w:tbl>
      <w:tblPr>
        <w:tblStyle w:val="GridTable1Light-Accent1"/>
        <w:tblW w:w="0" w:type="auto"/>
        <w:tblInd w:w="108" w:type="dxa"/>
        <w:tblLook w:val="04A0" w:firstRow="1" w:lastRow="0" w:firstColumn="1" w:lastColumn="0" w:noHBand="0" w:noVBand="1"/>
      </w:tblPr>
      <w:tblGrid>
        <w:gridCol w:w="2835"/>
        <w:gridCol w:w="1134"/>
        <w:gridCol w:w="1134"/>
        <w:gridCol w:w="1077"/>
        <w:gridCol w:w="1191"/>
      </w:tblGrid>
      <w:tr w:rsidR="008E7CF3" w:rsidTr="00302F73">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835" w:type="dxa"/>
          </w:tcPr>
          <w:p w:rsidR="008E7CF3" w:rsidRPr="00616DE7" w:rsidRDefault="008E7CF3" w:rsidP="008E7CF3">
            <w:pPr>
              <w:jc w:val="left"/>
              <w:rPr>
                <w:rFonts w:ascii="Calibri" w:hAnsi="Calibri"/>
                <w:color w:val="1F497D" w:themeColor="text2"/>
                <w:sz w:val="16"/>
                <w:szCs w:val="16"/>
              </w:rPr>
            </w:pPr>
            <w:r>
              <w:rPr>
                <w:rFonts w:ascii="Calibri" w:hAnsi="Calibri"/>
                <w:b w:val="0"/>
                <w:bCs w:val="0"/>
                <w:color w:val="1F497D" w:themeColor="text2"/>
                <w:sz w:val="16"/>
                <w:szCs w:val="16"/>
              </w:rPr>
              <w:t>70/30</w:t>
            </w:r>
            <w:r w:rsidRPr="00616DE7">
              <w:rPr>
                <w:rFonts w:ascii="Calibri" w:hAnsi="Calibri"/>
                <w:b w:val="0"/>
                <w:bCs w:val="0"/>
                <w:color w:val="1F497D" w:themeColor="text2"/>
                <w:sz w:val="16"/>
                <w:szCs w:val="16"/>
              </w:rPr>
              <w:t xml:space="preserve"> Portfolio</w:t>
            </w:r>
          </w:p>
        </w:tc>
        <w:tc>
          <w:tcPr>
            <w:tcW w:w="1134" w:type="dxa"/>
          </w:tcPr>
          <w:p w:rsidR="008E7CF3" w:rsidRPr="00616DE7" w:rsidRDefault="008E7CF3" w:rsidP="008E7CF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1F497D" w:themeColor="text2"/>
                <w:sz w:val="16"/>
                <w:szCs w:val="16"/>
              </w:rPr>
            </w:pPr>
            <w:r w:rsidRPr="00616DE7">
              <w:rPr>
                <w:rFonts w:ascii="Calibri" w:hAnsi="Calibri"/>
                <w:b w:val="0"/>
                <w:bCs w:val="0"/>
                <w:color w:val="1F497D" w:themeColor="text2"/>
                <w:sz w:val="16"/>
                <w:szCs w:val="16"/>
              </w:rPr>
              <w:t>TAA</w:t>
            </w:r>
          </w:p>
        </w:tc>
        <w:tc>
          <w:tcPr>
            <w:tcW w:w="1134" w:type="dxa"/>
          </w:tcPr>
          <w:p w:rsidR="008E7CF3" w:rsidRPr="00616DE7" w:rsidRDefault="008E7CF3" w:rsidP="008E7CF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1F497D" w:themeColor="text2"/>
                <w:sz w:val="16"/>
                <w:szCs w:val="16"/>
              </w:rPr>
            </w:pPr>
            <w:r w:rsidRPr="00616DE7">
              <w:rPr>
                <w:rFonts w:ascii="Calibri" w:hAnsi="Calibri"/>
                <w:b w:val="0"/>
                <w:bCs w:val="0"/>
                <w:color w:val="1F497D" w:themeColor="text2"/>
                <w:sz w:val="16"/>
                <w:szCs w:val="16"/>
              </w:rPr>
              <w:t>SAA</w:t>
            </w:r>
          </w:p>
        </w:tc>
        <w:tc>
          <w:tcPr>
            <w:tcW w:w="1077" w:type="dxa"/>
          </w:tcPr>
          <w:p w:rsidR="008E7CF3" w:rsidRPr="00616DE7" w:rsidRDefault="008E7CF3" w:rsidP="008E7CF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1F497D" w:themeColor="text2"/>
                <w:sz w:val="16"/>
                <w:szCs w:val="16"/>
              </w:rPr>
            </w:pPr>
            <w:r w:rsidRPr="00616DE7">
              <w:rPr>
                <w:rFonts w:ascii="Calibri" w:hAnsi="Calibri"/>
                <w:b w:val="0"/>
                <w:bCs w:val="0"/>
                <w:color w:val="1F497D" w:themeColor="text2"/>
                <w:sz w:val="16"/>
                <w:szCs w:val="16"/>
              </w:rPr>
              <w:t>TAA</w:t>
            </w:r>
          </w:p>
        </w:tc>
        <w:tc>
          <w:tcPr>
            <w:tcW w:w="1191" w:type="dxa"/>
          </w:tcPr>
          <w:p w:rsidR="008E7CF3" w:rsidRPr="00FC0E60" w:rsidRDefault="00FC0E60" w:rsidP="008E7CF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C0504D" w:themeColor="accent2"/>
                <w:sz w:val="16"/>
                <w:szCs w:val="16"/>
              </w:rPr>
            </w:pPr>
            <w:r w:rsidRPr="00FC0E60">
              <w:rPr>
                <w:rFonts w:ascii="Calibri" w:hAnsi="Calibri"/>
                <w:b w:val="0"/>
                <w:bCs w:val="0"/>
                <w:color w:val="C0504D" w:themeColor="accent2"/>
                <w:sz w:val="16"/>
                <w:szCs w:val="16"/>
              </w:rPr>
              <w:t>TAA</w:t>
            </w:r>
            <w:r w:rsidR="008E7CF3" w:rsidRPr="00FC0E60">
              <w:rPr>
                <w:rFonts w:ascii="Calibri" w:hAnsi="Calibri"/>
                <w:b w:val="0"/>
                <w:bCs w:val="0"/>
                <w:color w:val="C0504D" w:themeColor="accent2"/>
                <w:sz w:val="16"/>
                <w:szCs w:val="16"/>
              </w:rPr>
              <w:t> </w:t>
            </w:r>
          </w:p>
        </w:tc>
      </w:tr>
      <w:tr w:rsidR="008E7CF3" w:rsidTr="00302F73">
        <w:trPr>
          <w:trHeight w:val="239"/>
        </w:trPr>
        <w:tc>
          <w:tcPr>
            <w:cnfStyle w:val="001000000000" w:firstRow="0" w:lastRow="0" w:firstColumn="1" w:lastColumn="0" w:oddVBand="0" w:evenVBand="0" w:oddHBand="0" w:evenHBand="0" w:firstRowFirstColumn="0" w:firstRowLastColumn="0" w:lastRowFirstColumn="0" w:lastRowLastColumn="0"/>
            <w:tcW w:w="2835" w:type="dxa"/>
          </w:tcPr>
          <w:p w:rsidR="008E7CF3" w:rsidRDefault="008E7CF3" w:rsidP="008E7CF3">
            <w:pPr>
              <w:jc w:val="left"/>
              <w:rPr>
                <w:rFonts w:ascii="Calibri" w:hAnsi="Calibri"/>
                <w:b w:val="0"/>
                <w:bCs w:val="0"/>
                <w:color w:val="000000"/>
                <w:sz w:val="16"/>
                <w:szCs w:val="16"/>
              </w:rPr>
            </w:pPr>
            <w:r>
              <w:rPr>
                <w:rFonts w:ascii="Calibri" w:hAnsi="Calibri"/>
                <w:b w:val="0"/>
                <w:bCs w:val="0"/>
                <w:color w:val="000000"/>
                <w:sz w:val="16"/>
                <w:szCs w:val="16"/>
              </w:rPr>
              <w:t>MODEL PORTFOLIO</w:t>
            </w:r>
          </w:p>
        </w:tc>
        <w:tc>
          <w:tcPr>
            <w:tcW w:w="1134"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MIN %</w:t>
            </w:r>
          </w:p>
        </w:tc>
        <w:tc>
          <w:tcPr>
            <w:tcW w:w="1134"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SAA </w:t>
            </w:r>
          </w:p>
        </w:tc>
        <w:tc>
          <w:tcPr>
            <w:tcW w:w="1077"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 xml:space="preserve"> MAX %</w:t>
            </w:r>
          </w:p>
        </w:tc>
        <w:tc>
          <w:tcPr>
            <w:tcW w:w="1191" w:type="dxa"/>
          </w:tcPr>
          <w:p w:rsidR="008E7CF3" w:rsidRPr="00FC0E60"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C0504D" w:themeColor="accent2"/>
                <w:sz w:val="16"/>
                <w:szCs w:val="16"/>
              </w:rPr>
            </w:pPr>
            <w:r w:rsidRPr="00FC0E60">
              <w:rPr>
                <w:rFonts w:ascii="Calibri" w:hAnsi="Calibri"/>
                <w:b/>
                <w:bCs/>
                <w:color w:val="C0504D" w:themeColor="accent2"/>
                <w:sz w:val="16"/>
                <w:szCs w:val="16"/>
              </w:rPr>
              <w:t>TILT</w:t>
            </w:r>
          </w:p>
        </w:tc>
      </w:tr>
      <w:tr w:rsidR="008E7CF3" w:rsidTr="00302F73">
        <w:trPr>
          <w:trHeight w:val="220"/>
        </w:trPr>
        <w:tc>
          <w:tcPr>
            <w:cnfStyle w:val="001000000000" w:firstRow="0" w:lastRow="0" w:firstColumn="1" w:lastColumn="0" w:oddVBand="0" w:evenVBand="0" w:oddHBand="0" w:evenHBand="0" w:firstRowFirstColumn="0" w:firstRowLastColumn="0" w:lastRowFirstColumn="0" w:lastRowLastColumn="0"/>
            <w:tcW w:w="2835" w:type="dxa"/>
          </w:tcPr>
          <w:p w:rsidR="008E7CF3" w:rsidRPr="00C8092D" w:rsidRDefault="008E7CF3" w:rsidP="008E7CF3">
            <w:pPr>
              <w:jc w:val="left"/>
              <w:rPr>
                <w:rFonts w:ascii="Calibri" w:hAnsi="Calibri"/>
                <w:b w:val="0"/>
                <w:bCs w:val="0"/>
                <w:color w:val="1F497D" w:themeColor="text2"/>
                <w:sz w:val="16"/>
                <w:szCs w:val="16"/>
              </w:rPr>
            </w:pPr>
            <w:r w:rsidRPr="00C8092D">
              <w:rPr>
                <w:rFonts w:ascii="Calibri" w:hAnsi="Calibri"/>
                <w:b w:val="0"/>
                <w:bCs w:val="0"/>
                <w:color w:val="1F497D" w:themeColor="text2"/>
                <w:sz w:val="16"/>
                <w:szCs w:val="16"/>
              </w:rPr>
              <w:t>GROWTH</w:t>
            </w:r>
          </w:p>
        </w:tc>
        <w:tc>
          <w:tcPr>
            <w:tcW w:w="1134" w:type="dxa"/>
          </w:tcPr>
          <w:p w:rsidR="008E7CF3" w:rsidRPr="00C8092D"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FF"/>
                <w:sz w:val="16"/>
                <w:szCs w:val="16"/>
              </w:rPr>
            </w:pPr>
            <w:r w:rsidRPr="00C8092D">
              <w:rPr>
                <w:rFonts w:ascii="Calibri" w:hAnsi="Calibri"/>
                <w:b/>
                <w:bCs/>
                <w:color w:val="0000FF"/>
                <w:sz w:val="16"/>
                <w:szCs w:val="16"/>
              </w:rPr>
              <w:t>10%</w:t>
            </w:r>
          </w:p>
        </w:tc>
        <w:tc>
          <w:tcPr>
            <w:tcW w:w="1134" w:type="dxa"/>
          </w:tcPr>
          <w:p w:rsidR="008E7CF3" w:rsidRPr="00C8092D"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1F497D" w:themeColor="text2"/>
                <w:sz w:val="16"/>
                <w:szCs w:val="16"/>
              </w:rPr>
            </w:pPr>
            <w:r w:rsidRPr="00C8092D">
              <w:rPr>
                <w:rFonts w:ascii="Calibri" w:hAnsi="Calibri"/>
                <w:b/>
                <w:bCs/>
                <w:color w:val="1F497D" w:themeColor="text2"/>
                <w:sz w:val="16"/>
                <w:szCs w:val="16"/>
              </w:rPr>
              <w:t xml:space="preserve"> </w:t>
            </w:r>
          </w:p>
        </w:tc>
        <w:tc>
          <w:tcPr>
            <w:tcW w:w="1077" w:type="dxa"/>
          </w:tcPr>
          <w:p w:rsidR="008E7CF3" w:rsidRPr="00C8092D"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FF"/>
                <w:sz w:val="16"/>
                <w:szCs w:val="16"/>
              </w:rPr>
            </w:pPr>
            <w:r w:rsidRPr="00C8092D">
              <w:rPr>
                <w:rFonts w:ascii="Calibri" w:hAnsi="Calibri"/>
                <w:b/>
                <w:bCs/>
                <w:color w:val="0000FF"/>
                <w:sz w:val="16"/>
                <w:szCs w:val="16"/>
              </w:rPr>
              <w:t>10%</w:t>
            </w:r>
          </w:p>
        </w:tc>
        <w:tc>
          <w:tcPr>
            <w:tcW w:w="1191" w:type="dxa"/>
          </w:tcPr>
          <w:p w:rsidR="008E7CF3" w:rsidRPr="00FC0E60"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C0504D" w:themeColor="accent2"/>
                <w:sz w:val="16"/>
                <w:szCs w:val="16"/>
              </w:rPr>
            </w:pPr>
            <w:r w:rsidRPr="00FC0E60">
              <w:rPr>
                <w:rFonts w:ascii="Calibri" w:hAnsi="Calibri"/>
                <w:b/>
                <w:bCs/>
                <w:color w:val="C0504D" w:themeColor="accent2"/>
                <w:sz w:val="16"/>
                <w:szCs w:val="16"/>
              </w:rPr>
              <w:t xml:space="preserve"> </w:t>
            </w:r>
          </w:p>
        </w:tc>
      </w:tr>
      <w:tr w:rsidR="008E7CF3" w:rsidTr="00302F73">
        <w:trPr>
          <w:trHeight w:val="239"/>
        </w:trPr>
        <w:tc>
          <w:tcPr>
            <w:cnfStyle w:val="001000000000" w:firstRow="0" w:lastRow="0" w:firstColumn="1" w:lastColumn="0" w:oddVBand="0" w:evenVBand="0" w:oddHBand="0" w:evenHBand="0" w:firstRowFirstColumn="0" w:firstRowLastColumn="0" w:lastRowFirstColumn="0" w:lastRowLastColumn="0"/>
            <w:tcW w:w="2835" w:type="dxa"/>
          </w:tcPr>
          <w:p w:rsidR="008E7CF3" w:rsidRPr="00C8092D" w:rsidRDefault="008E7CF3" w:rsidP="008E7CF3">
            <w:pPr>
              <w:jc w:val="left"/>
              <w:rPr>
                <w:rFonts w:ascii="Calibri" w:hAnsi="Calibri"/>
                <w:b w:val="0"/>
                <w:bCs w:val="0"/>
                <w:color w:val="1F497D" w:themeColor="text2"/>
                <w:sz w:val="16"/>
                <w:szCs w:val="16"/>
              </w:rPr>
            </w:pPr>
            <w:r w:rsidRPr="00C8092D">
              <w:rPr>
                <w:rFonts w:ascii="Calibri" w:hAnsi="Calibri"/>
                <w:b w:val="0"/>
                <w:bCs w:val="0"/>
                <w:color w:val="1F497D" w:themeColor="text2"/>
                <w:sz w:val="16"/>
                <w:szCs w:val="16"/>
              </w:rPr>
              <w:t>Australian Shares</w:t>
            </w:r>
          </w:p>
        </w:tc>
        <w:tc>
          <w:tcPr>
            <w:tcW w:w="1134" w:type="dxa"/>
          </w:tcPr>
          <w:p w:rsidR="008E7CF3" w:rsidRPr="00C8092D" w:rsidRDefault="00302F7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Pr>
                <w:rFonts w:ascii="Calibri" w:hAnsi="Calibri"/>
                <w:color w:val="0000FF"/>
                <w:sz w:val="16"/>
                <w:szCs w:val="16"/>
              </w:rPr>
              <w:t>20</w:t>
            </w:r>
            <w:r w:rsidR="008E7CF3" w:rsidRPr="00C8092D">
              <w:rPr>
                <w:rFonts w:ascii="Calibri" w:hAnsi="Calibri"/>
                <w:color w:val="0000FF"/>
                <w:sz w:val="16"/>
                <w:szCs w:val="16"/>
              </w:rPr>
              <w:t>%</w:t>
            </w:r>
          </w:p>
        </w:tc>
        <w:tc>
          <w:tcPr>
            <w:tcW w:w="1134" w:type="dxa"/>
          </w:tcPr>
          <w:p w:rsidR="008E7CF3" w:rsidRPr="00C8092D" w:rsidRDefault="00302F7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1F497D" w:themeColor="text2"/>
                <w:sz w:val="16"/>
                <w:szCs w:val="16"/>
              </w:rPr>
            </w:pPr>
            <w:r>
              <w:rPr>
                <w:rFonts w:ascii="Calibri" w:hAnsi="Calibri"/>
                <w:color w:val="1F497D" w:themeColor="text2"/>
                <w:sz w:val="16"/>
                <w:szCs w:val="16"/>
              </w:rPr>
              <w:t>30</w:t>
            </w:r>
            <w:r w:rsidR="008E7CF3" w:rsidRPr="00C8092D">
              <w:rPr>
                <w:rFonts w:ascii="Calibri" w:hAnsi="Calibri"/>
                <w:color w:val="1F497D" w:themeColor="text2"/>
                <w:sz w:val="16"/>
                <w:szCs w:val="16"/>
              </w:rPr>
              <w:t>%</w:t>
            </w:r>
          </w:p>
        </w:tc>
        <w:tc>
          <w:tcPr>
            <w:tcW w:w="1077" w:type="dxa"/>
          </w:tcPr>
          <w:p w:rsidR="008E7CF3" w:rsidRPr="00C8092D" w:rsidRDefault="00302F7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Pr>
                <w:rFonts w:ascii="Calibri" w:hAnsi="Calibri"/>
                <w:color w:val="0000FF"/>
                <w:sz w:val="16"/>
                <w:szCs w:val="16"/>
              </w:rPr>
              <w:t>40</w:t>
            </w:r>
            <w:r w:rsidR="008E7CF3" w:rsidRPr="00C8092D">
              <w:rPr>
                <w:rFonts w:ascii="Calibri" w:hAnsi="Calibri"/>
                <w:color w:val="0000FF"/>
                <w:sz w:val="16"/>
                <w:szCs w:val="16"/>
              </w:rPr>
              <w:t>%</w:t>
            </w:r>
          </w:p>
        </w:tc>
        <w:tc>
          <w:tcPr>
            <w:tcW w:w="1191" w:type="dxa"/>
          </w:tcPr>
          <w:p w:rsidR="008E7CF3" w:rsidRPr="00302F73" w:rsidRDefault="00302F7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C0504D" w:themeColor="accent2"/>
                <w:sz w:val="16"/>
                <w:szCs w:val="16"/>
              </w:rPr>
            </w:pPr>
            <w:r>
              <w:rPr>
                <w:rFonts w:ascii="Calibri" w:hAnsi="Calibri"/>
                <w:b/>
                <w:color w:val="C0504D" w:themeColor="accent2"/>
                <w:sz w:val="16"/>
                <w:szCs w:val="16"/>
              </w:rPr>
              <w:t>20</w:t>
            </w:r>
            <w:r w:rsidR="008E7CF3" w:rsidRPr="00302F73">
              <w:rPr>
                <w:rFonts w:ascii="Calibri" w:hAnsi="Calibri"/>
                <w:b/>
                <w:color w:val="C0504D" w:themeColor="accent2"/>
                <w:sz w:val="16"/>
                <w:szCs w:val="16"/>
              </w:rPr>
              <w:t>%</w:t>
            </w:r>
          </w:p>
        </w:tc>
      </w:tr>
      <w:tr w:rsidR="008E7CF3" w:rsidTr="00302F73">
        <w:trPr>
          <w:trHeight w:val="239"/>
        </w:trPr>
        <w:tc>
          <w:tcPr>
            <w:cnfStyle w:val="001000000000" w:firstRow="0" w:lastRow="0" w:firstColumn="1" w:lastColumn="0" w:oddVBand="0" w:evenVBand="0" w:oddHBand="0" w:evenHBand="0" w:firstRowFirstColumn="0" w:firstRowLastColumn="0" w:lastRowFirstColumn="0" w:lastRowLastColumn="0"/>
            <w:tcW w:w="2835" w:type="dxa"/>
          </w:tcPr>
          <w:p w:rsidR="008E7CF3" w:rsidRPr="00C8092D" w:rsidRDefault="008E7CF3" w:rsidP="008E7CF3">
            <w:pPr>
              <w:jc w:val="left"/>
              <w:rPr>
                <w:rFonts w:ascii="Calibri" w:hAnsi="Calibri"/>
                <w:color w:val="1F497D" w:themeColor="text2"/>
                <w:sz w:val="16"/>
                <w:szCs w:val="16"/>
              </w:rPr>
            </w:pPr>
            <w:r w:rsidRPr="00C8092D">
              <w:rPr>
                <w:rFonts w:ascii="Calibri" w:hAnsi="Calibri"/>
                <w:b w:val="0"/>
                <w:bCs w:val="0"/>
                <w:color w:val="1F497D" w:themeColor="text2"/>
                <w:sz w:val="16"/>
                <w:szCs w:val="16"/>
              </w:rPr>
              <w:t>Global Shares</w:t>
            </w:r>
          </w:p>
        </w:tc>
        <w:tc>
          <w:tcPr>
            <w:tcW w:w="1134" w:type="dxa"/>
          </w:tcPr>
          <w:p w:rsidR="008E7CF3" w:rsidRPr="00C8092D" w:rsidRDefault="00302F73" w:rsidP="00302F7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Pr>
                <w:rFonts w:ascii="Calibri" w:hAnsi="Calibri"/>
                <w:color w:val="0000FF"/>
                <w:sz w:val="16"/>
                <w:szCs w:val="16"/>
              </w:rPr>
              <w:t>20</w:t>
            </w:r>
            <w:r w:rsidR="008E7CF3" w:rsidRPr="00C8092D">
              <w:rPr>
                <w:rFonts w:ascii="Calibri" w:hAnsi="Calibri"/>
                <w:color w:val="0000FF"/>
                <w:sz w:val="16"/>
                <w:szCs w:val="16"/>
              </w:rPr>
              <w:t>%</w:t>
            </w:r>
          </w:p>
        </w:tc>
        <w:tc>
          <w:tcPr>
            <w:tcW w:w="1134" w:type="dxa"/>
          </w:tcPr>
          <w:p w:rsidR="008E7CF3" w:rsidRPr="00C8092D" w:rsidRDefault="00302F73" w:rsidP="00302F73">
            <w:pPr>
              <w:jc w:val="center"/>
              <w:cnfStyle w:val="000000000000" w:firstRow="0" w:lastRow="0" w:firstColumn="0" w:lastColumn="0" w:oddVBand="0" w:evenVBand="0" w:oddHBand="0" w:evenHBand="0" w:firstRowFirstColumn="0" w:firstRowLastColumn="0" w:lastRowFirstColumn="0" w:lastRowLastColumn="0"/>
              <w:rPr>
                <w:rFonts w:ascii="Calibri" w:hAnsi="Calibri"/>
                <w:color w:val="1F497D" w:themeColor="text2"/>
                <w:sz w:val="16"/>
                <w:szCs w:val="16"/>
              </w:rPr>
            </w:pPr>
            <w:r>
              <w:rPr>
                <w:rFonts w:ascii="Calibri" w:hAnsi="Calibri"/>
                <w:color w:val="1F497D" w:themeColor="text2"/>
                <w:sz w:val="16"/>
                <w:szCs w:val="16"/>
              </w:rPr>
              <w:t>30</w:t>
            </w:r>
            <w:r w:rsidR="008E7CF3" w:rsidRPr="00C8092D">
              <w:rPr>
                <w:rFonts w:ascii="Calibri" w:hAnsi="Calibri"/>
                <w:color w:val="1F497D" w:themeColor="text2"/>
                <w:sz w:val="16"/>
                <w:szCs w:val="16"/>
              </w:rPr>
              <w:t>%</w:t>
            </w:r>
          </w:p>
        </w:tc>
        <w:tc>
          <w:tcPr>
            <w:tcW w:w="1077" w:type="dxa"/>
          </w:tcPr>
          <w:p w:rsidR="008E7CF3" w:rsidRPr="00C8092D" w:rsidRDefault="00302F73" w:rsidP="00302F7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Pr>
                <w:rFonts w:ascii="Calibri" w:hAnsi="Calibri"/>
                <w:color w:val="0000FF"/>
                <w:sz w:val="16"/>
                <w:szCs w:val="16"/>
              </w:rPr>
              <w:t>40</w:t>
            </w:r>
            <w:r w:rsidR="008E7CF3" w:rsidRPr="00C8092D">
              <w:rPr>
                <w:rFonts w:ascii="Calibri" w:hAnsi="Calibri"/>
                <w:color w:val="0000FF"/>
                <w:sz w:val="16"/>
                <w:szCs w:val="16"/>
              </w:rPr>
              <w:t>%</w:t>
            </w:r>
          </w:p>
        </w:tc>
        <w:tc>
          <w:tcPr>
            <w:tcW w:w="1191" w:type="dxa"/>
          </w:tcPr>
          <w:p w:rsidR="008E7CF3" w:rsidRPr="00302F73" w:rsidRDefault="00302F73" w:rsidP="00302F73">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C0504D" w:themeColor="accent2"/>
                <w:sz w:val="16"/>
                <w:szCs w:val="16"/>
              </w:rPr>
            </w:pPr>
            <w:r>
              <w:rPr>
                <w:rFonts w:ascii="Calibri" w:hAnsi="Calibri"/>
                <w:b/>
                <w:color w:val="C0504D" w:themeColor="accent2"/>
                <w:sz w:val="16"/>
                <w:szCs w:val="16"/>
              </w:rPr>
              <w:t>20</w:t>
            </w:r>
            <w:r w:rsidR="008E7CF3" w:rsidRPr="00302F73">
              <w:rPr>
                <w:rFonts w:ascii="Calibri" w:hAnsi="Calibri"/>
                <w:b/>
                <w:color w:val="C0504D" w:themeColor="accent2"/>
                <w:sz w:val="16"/>
                <w:szCs w:val="16"/>
              </w:rPr>
              <w:t>%</w:t>
            </w:r>
          </w:p>
        </w:tc>
      </w:tr>
      <w:tr w:rsidR="008E7CF3" w:rsidTr="00302F73">
        <w:trPr>
          <w:trHeight w:val="220"/>
        </w:trPr>
        <w:tc>
          <w:tcPr>
            <w:cnfStyle w:val="001000000000" w:firstRow="0" w:lastRow="0" w:firstColumn="1" w:lastColumn="0" w:oddVBand="0" w:evenVBand="0" w:oddHBand="0" w:evenHBand="0" w:firstRowFirstColumn="0" w:firstRowLastColumn="0" w:lastRowFirstColumn="0" w:lastRowLastColumn="0"/>
            <w:tcW w:w="2835" w:type="dxa"/>
          </w:tcPr>
          <w:p w:rsidR="008E7CF3" w:rsidRPr="00C8092D" w:rsidRDefault="008E7CF3" w:rsidP="008E7CF3">
            <w:pPr>
              <w:jc w:val="left"/>
              <w:rPr>
                <w:rFonts w:ascii="Calibri" w:hAnsi="Calibri"/>
                <w:color w:val="1F497D" w:themeColor="text2"/>
                <w:sz w:val="16"/>
                <w:szCs w:val="16"/>
              </w:rPr>
            </w:pPr>
            <w:r w:rsidRPr="00C8092D">
              <w:rPr>
                <w:rFonts w:ascii="Calibri" w:hAnsi="Calibri"/>
                <w:b w:val="0"/>
                <w:bCs w:val="0"/>
                <w:color w:val="1F497D" w:themeColor="text2"/>
                <w:sz w:val="16"/>
                <w:szCs w:val="16"/>
              </w:rPr>
              <w:t>Australian Direct Property</w:t>
            </w:r>
          </w:p>
        </w:tc>
        <w:tc>
          <w:tcPr>
            <w:tcW w:w="1134" w:type="dxa"/>
          </w:tcPr>
          <w:p w:rsidR="008E7CF3" w:rsidRPr="00C8092D"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sidRPr="00C8092D">
              <w:rPr>
                <w:rFonts w:ascii="Calibri" w:hAnsi="Calibri"/>
                <w:color w:val="0000FF"/>
                <w:sz w:val="16"/>
                <w:szCs w:val="16"/>
              </w:rPr>
              <w:t>0%</w:t>
            </w:r>
          </w:p>
        </w:tc>
        <w:tc>
          <w:tcPr>
            <w:tcW w:w="1134" w:type="dxa"/>
          </w:tcPr>
          <w:p w:rsidR="008E7CF3" w:rsidRPr="00C8092D"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1F497D" w:themeColor="text2"/>
                <w:sz w:val="16"/>
                <w:szCs w:val="16"/>
              </w:rPr>
            </w:pPr>
            <w:r>
              <w:rPr>
                <w:rFonts w:ascii="Calibri" w:hAnsi="Calibri"/>
                <w:color w:val="1F497D" w:themeColor="text2"/>
                <w:sz w:val="16"/>
                <w:szCs w:val="16"/>
              </w:rPr>
              <w:t>5</w:t>
            </w:r>
            <w:r w:rsidRPr="00C8092D">
              <w:rPr>
                <w:rFonts w:ascii="Calibri" w:hAnsi="Calibri"/>
                <w:color w:val="1F497D" w:themeColor="text2"/>
                <w:sz w:val="16"/>
                <w:szCs w:val="16"/>
              </w:rPr>
              <w:t>%</w:t>
            </w:r>
          </w:p>
        </w:tc>
        <w:tc>
          <w:tcPr>
            <w:tcW w:w="1077" w:type="dxa"/>
          </w:tcPr>
          <w:p w:rsidR="008E7CF3" w:rsidRPr="00C8092D" w:rsidRDefault="008E7CF3" w:rsidP="00302F7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sidRPr="00C8092D">
              <w:rPr>
                <w:rFonts w:ascii="Calibri" w:hAnsi="Calibri"/>
                <w:color w:val="0000FF"/>
                <w:sz w:val="16"/>
                <w:szCs w:val="16"/>
              </w:rPr>
              <w:t>1</w:t>
            </w:r>
            <w:r w:rsidR="00302F73">
              <w:rPr>
                <w:rFonts w:ascii="Calibri" w:hAnsi="Calibri"/>
                <w:color w:val="0000FF"/>
                <w:sz w:val="16"/>
                <w:szCs w:val="16"/>
              </w:rPr>
              <w:t>0</w:t>
            </w:r>
            <w:r w:rsidRPr="00C8092D">
              <w:rPr>
                <w:rFonts w:ascii="Calibri" w:hAnsi="Calibri"/>
                <w:color w:val="0000FF"/>
                <w:sz w:val="16"/>
                <w:szCs w:val="16"/>
              </w:rPr>
              <w:t>%</w:t>
            </w:r>
          </w:p>
        </w:tc>
        <w:tc>
          <w:tcPr>
            <w:tcW w:w="1191" w:type="dxa"/>
          </w:tcPr>
          <w:p w:rsidR="008E7CF3" w:rsidRPr="00FC0E60"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C0504D" w:themeColor="accent2"/>
                <w:sz w:val="16"/>
                <w:szCs w:val="16"/>
              </w:rPr>
            </w:pPr>
            <w:r w:rsidRPr="00FC0E60">
              <w:rPr>
                <w:rFonts w:ascii="Calibri" w:hAnsi="Calibri"/>
                <w:color w:val="C0504D" w:themeColor="accent2"/>
                <w:sz w:val="16"/>
                <w:szCs w:val="16"/>
              </w:rPr>
              <w:t>5%</w:t>
            </w:r>
          </w:p>
        </w:tc>
      </w:tr>
      <w:tr w:rsidR="008E7CF3" w:rsidTr="00302F73">
        <w:trPr>
          <w:trHeight w:val="239"/>
        </w:trPr>
        <w:tc>
          <w:tcPr>
            <w:cnfStyle w:val="001000000000" w:firstRow="0" w:lastRow="0" w:firstColumn="1" w:lastColumn="0" w:oddVBand="0" w:evenVBand="0" w:oddHBand="0" w:evenHBand="0" w:firstRowFirstColumn="0" w:firstRowLastColumn="0" w:lastRowFirstColumn="0" w:lastRowLastColumn="0"/>
            <w:tcW w:w="2835" w:type="dxa"/>
          </w:tcPr>
          <w:p w:rsidR="008E7CF3" w:rsidRPr="00C8092D" w:rsidRDefault="008E7CF3" w:rsidP="008E7CF3">
            <w:pPr>
              <w:jc w:val="left"/>
              <w:rPr>
                <w:rFonts w:ascii="Calibri" w:hAnsi="Calibri"/>
                <w:color w:val="1F497D" w:themeColor="text2"/>
                <w:sz w:val="16"/>
                <w:szCs w:val="16"/>
              </w:rPr>
            </w:pPr>
            <w:r w:rsidRPr="00C8092D">
              <w:rPr>
                <w:rFonts w:ascii="Calibri" w:hAnsi="Calibri"/>
                <w:b w:val="0"/>
                <w:bCs w:val="0"/>
                <w:color w:val="1F497D" w:themeColor="text2"/>
                <w:sz w:val="16"/>
                <w:szCs w:val="16"/>
              </w:rPr>
              <w:t>Global Property</w:t>
            </w:r>
          </w:p>
        </w:tc>
        <w:tc>
          <w:tcPr>
            <w:tcW w:w="1134" w:type="dxa"/>
          </w:tcPr>
          <w:p w:rsidR="008E7CF3" w:rsidRPr="00C8092D"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Pr>
                <w:rFonts w:ascii="Calibri" w:hAnsi="Calibri"/>
                <w:color w:val="0000FF"/>
                <w:sz w:val="16"/>
                <w:szCs w:val="16"/>
              </w:rPr>
              <w:t>0</w:t>
            </w:r>
            <w:r w:rsidRPr="00C8092D">
              <w:rPr>
                <w:rFonts w:ascii="Calibri" w:hAnsi="Calibri"/>
                <w:color w:val="0000FF"/>
                <w:sz w:val="16"/>
                <w:szCs w:val="16"/>
              </w:rPr>
              <w:t>%</w:t>
            </w:r>
          </w:p>
        </w:tc>
        <w:tc>
          <w:tcPr>
            <w:tcW w:w="1134" w:type="dxa"/>
          </w:tcPr>
          <w:p w:rsidR="008E7CF3" w:rsidRPr="00C8092D" w:rsidRDefault="00302F7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1F497D" w:themeColor="text2"/>
                <w:sz w:val="16"/>
                <w:szCs w:val="16"/>
              </w:rPr>
            </w:pPr>
            <w:r>
              <w:rPr>
                <w:rFonts w:ascii="Calibri" w:hAnsi="Calibri"/>
                <w:color w:val="1F497D" w:themeColor="text2"/>
                <w:sz w:val="16"/>
                <w:szCs w:val="16"/>
              </w:rPr>
              <w:t>5</w:t>
            </w:r>
            <w:r w:rsidR="008E7CF3" w:rsidRPr="00C8092D">
              <w:rPr>
                <w:rFonts w:ascii="Calibri" w:hAnsi="Calibri"/>
                <w:color w:val="1F497D" w:themeColor="text2"/>
                <w:sz w:val="16"/>
                <w:szCs w:val="16"/>
              </w:rPr>
              <w:t>%</w:t>
            </w:r>
          </w:p>
        </w:tc>
        <w:tc>
          <w:tcPr>
            <w:tcW w:w="1077" w:type="dxa"/>
          </w:tcPr>
          <w:p w:rsidR="008E7CF3" w:rsidRPr="00C8092D" w:rsidRDefault="00302F7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Pr>
                <w:rFonts w:ascii="Calibri" w:hAnsi="Calibri"/>
                <w:color w:val="0000FF"/>
                <w:sz w:val="16"/>
                <w:szCs w:val="16"/>
              </w:rPr>
              <w:t>1</w:t>
            </w:r>
            <w:r w:rsidR="008E7CF3">
              <w:rPr>
                <w:rFonts w:ascii="Calibri" w:hAnsi="Calibri"/>
                <w:color w:val="0000FF"/>
                <w:sz w:val="16"/>
                <w:szCs w:val="16"/>
              </w:rPr>
              <w:t>0</w:t>
            </w:r>
            <w:r w:rsidR="008E7CF3" w:rsidRPr="00C8092D">
              <w:rPr>
                <w:rFonts w:ascii="Calibri" w:hAnsi="Calibri"/>
                <w:color w:val="0000FF"/>
                <w:sz w:val="16"/>
                <w:szCs w:val="16"/>
              </w:rPr>
              <w:t>%</w:t>
            </w:r>
          </w:p>
        </w:tc>
        <w:tc>
          <w:tcPr>
            <w:tcW w:w="1191" w:type="dxa"/>
          </w:tcPr>
          <w:p w:rsidR="008E7CF3" w:rsidRPr="00FC0E60" w:rsidRDefault="00302F7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C0504D" w:themeColor="accent2"/>
                <w:sz w:val="16"/>
                <w:szCs w:val="16"/>
              </w:rPr>
            </w:pPr>
            <w:r>
              <w:rPr>
                <w:rFonts w:ascii="Calibri" w:hAnsi="Calibri"/>
                <w:color w:val="C0504D" w:themeColor="accent2"/>
                <w:sz w:val="16"/>
                <w:szCs w:val="16"/>
              </w:rPr>
              <w:t>5</w:t>
            </w:r>
            <w:r w:rsidR="008E7CF3" w:rsidRPr="00FC0E60">
              <w:rPr>
                <w:rFonts w:ascii="Calibri" w:hAnsi="Calibri"/>
                <w:color w:val="C0504D" w:themeColor="accent2"/>
                <w:sz w:val="16"/>
                <w:szCs w:val="16"/>
              </w:rPr>
              <w:t>%</w:t>
            </w:r>
          </w:p>
        </w:tc>
      </w:tr>
      <w:tr w:rsidR="008E7CF3" w:rsidTr="00302F73">
        <w:trPr>
          <w:trHeight w:val="239"/>
        </w:trPr>
        <w:tc>
          <w:tcPr>
            <w:cnfStyle w:val="001000000000" w:firstRow="0" w:lastRow="0" w:firstColumn="1" w:lastColumn="0" w:oddVBand="0" w:evenVBand="0" w:oddHBand="0" w:evenHBand="0" w:firstRowFirstColumn="0" w:firstRowLastColumn="0" w:lastRowFirstColumn="0" w:lastRowLastColumn="0"/>
            <w:tcW w:w="2835" w:type="dxa"/>
          </w:tcPr>
          <w:p w:rsidR="008E7CF3" w:rsidRPr="00C8092D" w:rsidRDefault="008E7CF3" w:rsidP="008E7CF3">
            <w:pPr>
              <w:jc w:val="left"/>
              <w:rPr>
                <w:rFonts w:ascii="Calibri" w:hAnsi="Calibri"/>
                <w:color w:val="1F497D" w:themeColor="text2"/>
                <w:sz w:val="16"/>
                <w:szCs w:val="16"/>
              </w:rPr>
            </w:pPr>
            <w:r w:rsidRPr="00C8092D">
              <w:rPr>
                <w:rFonts w:ascii="Calibri" w:hAnsi="Calibri"/>
                <w:b w:val="0"/>
                <w:bCs w:val="0"/>
                <w:color w:val="1F497D" w:themeColor="text2"/>
                <w:sz w:val="16"/>
                <w:szCs w:val="16"/>
              </w:rPr>
              <w:t>Growth Alternatives</w:t>
            </w:r>
          </w:p>
        </w:tc>
        <w:tc>
          <w:tcPr>
            <w:tcW w:w="1134" w:type="dxa"/>
          </w:tcPr>
          <w:p w:rsidR="008E7CF3" w:rsidRPr="00C8092D"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sidRPr="00C8092D">
              <w:rPr>
                <w:rFonts w:ascii="Calibri" w:hAnsi="Calibri"/>
                <w:color w:val="0000FF"/>
                <w:sz w:val="16"/>
                <w:szCs w:val="16"/>
              </w:rPr>
              <w:t>0%</w:t>
            </w:r>
          </w:p>
        </w:tc>
        <w:tc>
          <w:tcPr>
            <w:tcW w:w="1134" w:type="dxa"/>
          </w:tcPr>
          <w:p w:rsidR="008E7CF3" w:rsidRPr="00C8092D"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1F497D" w:themeColor="text2"/>
                <w:sz w:val="16"/>
                <w:szCs w:val="16"/>
              </w:rPr>
            </w:pPr>
            <w:r w:rsidRPr="00C8092D">
              <w:rPr>
                <w:rFonts w:ascii="Calibri" w:hAnsi="Calibri"/>
                <w:color w:val="1F497D" w:themeColor="text2"/>
                <w:sz w:val="16"/>
                <w:szCs w:val="16"/>
              </w:rPr>
              <w:t>0%</w:t>
            </w:r>
          </w:p>
        </w:tc>
        <w:tc>
          <w:tcPr>
            <w:tcW w:w="1077" w:type="dxa"/>
          </w:tcPr>
          <w:p w:rsidR="008E7CF3" w:rsidRPr="00C8092D"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sidRPr="00C8092D">
              <w:rPr>
                <w:rFonts w:ascii="Calibri" w:hAnsi="Calibri"/>
                <w:color w:val="0000FF"/>
                <w:sz w:val="16"/>
                <w:szCs w:val="16"/>
              </w:rPr>
              <w:t>10%</w:t>
            </w:r>
          </w:p>
        </w:tc>
        <w:tc>
          <w:tcPr>
            <w:tcW w:w="1191" w:type="dxa"/>
          </w:tcPr>
          <w:p w:rsidR="008E7CF3" w:rsidRPr="00302F7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C0504D" w:themeColor="accent2"/>
                <w:sz w:val="16"/>
                <w:szCs w:val="16"/>
              </w:rPr>
            </w:pPr>
            <w:r w:rsidRPr="00302F73">
              <w:rPr>
                <w:rFonts w:ascii="Calibri" w:hAnsi="Calibri"/>
                <w:b/>
                <w:color w:val="C0504D" w:themeColor="accent2"/>
                <w:sz w:val="16"/>
                <w:szCs w:val="16"/>
              </w:rPr>
              <w:t>10%</w:t>
            </w:r>
          </w:p>
        </w:tc>
      </w:tr>
      <w:tr w:rsidR="008E7CF3" w:rsidTr="00302F73">
        <w:trPr>
          <w:trHeight w:val="239"/>
        </w:trPr>
        <w:tc>
          <w:tcPr>
            <w:cnfStyle w:val="001000000000" w:firstRow="0" w:lastRow="0" w:firstColumn="1" w:lastColumn="0" w:oddVBand="0" w:evenVBand="0" w:oddHBand="0" w:evenHBand="0" w:firstRowFirstColumn="0" w:firstRowLastColumn="0" w:lastRowFirstColumn="0" w:lastRowLastColumn="0"/>
            <w:tcW w:w="2835" w:type="dxa"/>
          </w:tcPr>
          <w:p w:rsidR="008E7CF3" w:rsidRPr="00C8092D" w:rsidRDefault="008E7CF3" w:rsidP="008E7CF3">
            <w:pPr>
              <w:jc w:val="left"/>
              <w:rPr>
                <w:rFonts w:ascii="Calibri" w:hAnsi="Calibri"/>
                <w:color w:val="1F497D" w:themeColor="text2"/>
                <w:sz w:val="16"/>
                <w:szCs w:val="16"/>
              </w:rPr>
            </w:pPr>
            <w:r w:rsidRPr="00C8092D">
              <w:rPr>
                <w:rFonts w:ascii="Calibri" w:hAnsi="Calibri"/>
                <w:b w:val="0"/>
                <w:bCs w:val="0"/>
                <w:color w:val="1F497D" w:themeColor="text2"/>
                <w:sz w:val="16"/>
                <w:szCs w:val="16"/>
              </w:rPr>
              <w:t>SUB-TOTAL GROWTH</w:t>
            </w:r>
          </w:p>
        </w:tc>
        <w:tc>
          <w:tcPr>
            <w:tcW w:w="1134" w:type="dxa"/>
          </w:tcPr>
          <w:p w:rsidR="008E7CF3" w:rsidRPr="00C8092D"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FF"/>
                <w:sz w:val="16"/>
                <w:szCs w:val="16"/>
              </w:rPr>
            </w:pPr>
            <w:r>
              <w:rPr>
                <w:rFonts w:ascii="Calibri" w:hAnsi="Calibri"/>
                <w:b/>
                <w:bCs/>
                <w:color w:val="0000FF"/>
                <w:sz w:val="16"/>
                <w:szCs w:val="16"/>
              </w:rPr>
              <w:t>60</w:t>
            </w:r>
            <w:r w:rsidRPr="00C8092D">
              <w:rPr>
                <w:rFonts w:ascii="Calibri" w:hAnsi="Calibri"/>
                <w:b/>
                <w:bCs/>
                <w:color w:val="0000FF"/>
                <w:sz w:val="16"/>
                <w:szCs w:val="16"/>
              </w:rPr>
              <w:t>%</w:t>
            </w:r>
          </w:p>
        </w:tc>
        <w:tc>
          <w:tcPr>
            <w:tcW w:w="1134" w:type="dxa"/>
          </w:tcPr>
          <w:p w:rsidR="008E7CF3" w:rsidRPr="00C8092D"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1F497D" w:themeColor="text2"/>
                <w:sz w:val="16"/>
                <w:szCs w:val="16"/>
              </w:rPr>
            </w:pPr>
            <w:r>
              <w:rPr>
                <w:rFonts w:ascii="Calibri" w:hAnsi="Calibri"/>
                <w:b/>
                <w:bCs/>
                <w:color w:val="1F497D" w:themeColor="text2"/>
                <w:sz w:val="16"/>
                <w:szCs w:val="16"/>
              </w:rPr>
              <w:t>70</w:t>
            </w:r>
            <w:r w:rsidRPr="00C8092D">
              <w:rPr>
                <w:rFonts w:ascii="Calibri" w:hAnsi="Calibri"/>
                <w:b/>
                <w:bCs/>
                <w:color w:val="1F497D" w:themeColor="text2"/>
                <w:sz w:val="16"/>
                <w:szCs w:val="16"/>
              </w:rPr>
              <w:t>%</w:t>
            </w:r>
          </w:p>
        </w:tc>
        <w:tc>
          <w:tcPr>
            <w:tcW w:w="1077" w:type="dxa"/>
          </w:tcPr>
          <w:p w:rsidR="008E7CF3" w:rsidRPr="00C8092D"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FF"/>
                <w:sz w:val="16"/>
                <w:szCs w:val="16"/>
              </w:rPr>
            </w:pPr>
            <w:r>
              <w:rPr>
                <w:rFonts w:ascii="Calibri" w:hAnsi="Calibri"/>
                <w:b/>
                <w:bCs/>
                <w:color w:val="0000FF"/>
                <w:sz w:val="16"/>
                <w:szCs w:val="16"/>
              </w:rPr>
              <w:t>80</w:t>
            </w:r>
            <w:r w:rsidRPr="00C8092D">
              <w:rPr>
                <w:rFonts w:ascii="Calibri" w:hAnsi="Calibri"/>
                <w:b/>
                <w:bCs/>
                <w:color w:val="0000FF"/>
                <w:sz w:val="16"/>
                <w:szCs w:val="16"/>
              </w:rPr>
              <w:t>%</w:t>
            </w:r>
          </w:p>
        </w:tc>
        <w:tc>
          <w:tcPr>
            <w:tcW w:w="1191" w:type="dxa"/>
          </w:tcPr>
          <w:p w:rsidR="008E7CF3" w:rsidRPr="00FC0E60"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C0504D" w:themeColor="accent2"/>
                <w:sz w:val="16"/>
                <w:szCs w:val="16"/>
              </w:rPr>
            </w:pPr>
            <w:r w:rsidRPr="00FC0E60">
              <w:rPr>
                <w:rFonts w:ascii="Calibri" w:hAnsi="Calibri"/>
                <w:b/>
                <w:bCs/>
                <w:color w:val="C0504D" w:themeColor="accent2"/>
                <w:sz w:val="16"/>
                <w:szCs w:val="16"/>
              </w:rPr>
              <w:t>60%</w:t>
            </w:r>
          </w:p>
        </w:tc>
      </w:tr>
      <w:tr w:rsidR="008E7CF3" w:rsidTr="00302F73">
        <w:trPr>
          <w:trHeight w:val="220"/>
        </w:trPr>
        <w:tc>
          <w:tcPr>
            <w:cnfStyle w:val="001000000000" w:firstRow="0" w:lastRow="0" w:firstColumn="1" w:lastColumn="0" w:oddVBand="0" w:evenVBand="0" w:oddHBand="0" w:evenHBand="0" w:firstRowFirstColumn="0" w:firstRowLastColumn="0" w:lastRowFirstColumn="0" w:lastRowLastColumn="0"/>
            <w:tcW w:w="2835" w:type="dxa"/>
          </w:tcPr>
          <w:p w:rsidR="008E7CF3" w:rsidRDefault="008E7CF3" w:rsidP="008E7CF3">
            <w:pPr>
              <w:jc w:val="left"/>
              <w:rPr>
                <w:rFonts w:ascii="Calibri" w:hAnsi="Calibri"/>
                <w:b w:val="0"/>
                <w:bCs w:val="0"/>
                <w:color w:val="4F6228"/>
                <w:sz w:val="16"/>
                <w:szCs w:val="16"/>
              </w:rPr>
            </w:pPr>
            <w:r>
              <w:rPr>
                <w:rFonts w:ascii="Calibri" w:hAnsi="Calibri"/>
                <w:b w:val="0"/>
                <w:bCs w:val="0"/>
                <w:color w:val="4F6228"/>
                <w:sz w:val="16"/>
                <w:szCs w:val="16"/>
              </w:rPr>
              <w:t>DEFENSIVE</w:t>
            </w:r>
          </w:p>
        </w:tc>
        <w:tc>
          <w:tcPr>
            <w:tcW w:w="1134"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Pr>
                <w:rFonts w:ascii="Calibri" w:hAnsi="Calibri"/>
                <w:color w:val="0000FF"/>
                <w:sz w:val="16"/>
                <w:szCs w:val="16"/>
              </w:rPr>
              <w:t xml:space="preserve"> </w:t>
            </w:r>
          </w:p>
        </w:tc>
        <w:tc>
          <w:tcPr>
            <w:tcW w:w="1134"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4F6228"/>
                <w:sz w:val="16"/>
                <w:szCs w:val="16"/>
              </w:rPr>
            </w:pPr>
            <w:r>
              <w:rPr>
                <w:rFonts w:ascii="Calibri" w:hAnsi="Calibri"/>
                <w:b/>
                <w:bCs/>
                <w:color w:val="4F6228"/>
                <w:sz w:val="16"/>
                <w:szCs w:val="16"/>
              </w:rPr>
              <w:t xml:space="preserve"> </w:t>
            </w:r>
          </w:p>
        </w:tc>
        <w:tc>
          <w:tcPr>
            <w:tcW w:w="1077" w:type="dxa"/>
          </w:tcPr>
          <w:p w:rsidR="008E7CF3" w:rsidRPr="00C8092D"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sidRPr="00C8092D">
              <w:rPr>
                <w:rFonts w:ascii="Calibri" w:hAnsi="Calibri"/>
                <w:color w:val="0000FF"/>
                <w:sz w:val="16"/>
                <w:szCs w:val="16"/>
              </w:rPr>
              <w:t xml:space="preserve"> </w:t>
            </w:r>
          </w:p>
        </w:tc>
        <w:tc>
          <w:tcPr>
            <w:tcW w:w="1191" w:type="dxa"/>
          </w:tcPr>
          <w:p w:rsidR="008E7CF3" w:rsidRPr="00FC0E60"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C0504D" w:themeColor="accent2"/>
                <w:sz w:val="16"/>
                <w:szCs w:val="16"/>
              </w:rPr>
            </w:pPr>
            <w:r w:rsidRPr="00FC0E60">
              <w:rPr>
                <w:rFonts w:ascii="Calibri" w:hAnsi="Calibri"/>
                <w:b/>
                <w:bCs/>
                <w:color w:val="C0504D" w:themeColor="accent2"/>
                <w:sz w:val="16"/>
                <w:szCs w:val="16"/>
              </w:rPr>
              <w:t xml:space="preserve"> </w:t>
            </w:r>
          </w:p>
        </w:tc>
      </w:tr>
      <w:tr w:rsidR="008E7CF3" w:rsidTr="00302F73">
        <w:trPr>
          <w:trHeight w:val="239"/>
        </w:trPr>
        <w:tc>
          <w:tcPr>
            <w:cnfStyle w:val="001000000000" w:firstRow="0" w:lastRow="0" w:firstColumn="1" w:lastColumn="0" w:oddVBand="0" w:evenVBand="0" w:oddHBand="0" w:evenHBand="0" w:firstRowFirstColumn="0" w:firstRowLastColumn="0" w:lastRowFirstColumn="0" w:lastRowLastColumn="0"/>
            <w:tcW w:w="2835" w:type="dxa"/>
          </w:tcPr>
          <w:p w:rsidR="008E7CF3" w:rsidRDefault="008E7CF3" w:rsidP="008E7CF3">
            <w:pPr>
              <w:jc w:val="left"/>
              <w:rPr>
                <w:rFonts w:ascii="Calibri" w:hAnsi="Calibri"/>
                <w:color w:val="4F6228"/>
                <w:sz w:val="16"/>
                <w:szCs w:val="16"/>
              </w:rPr>
            </w:pPr>
            <w:r>
              <w:rPr>
                <w:rFonts w:ascii="Calibri" w:hAnsi="Calibri"/>
                <w:b w:val="0"/>
                <w:bCs w:val="0"/>
                <w:color w:val="4F6228"/>
                <w:sz w:val="16"/>
                <w:szCs w:val="16"/>
              </w:rPr>
              <w:t>Australian Fixed Interest</w:t>
            </w:r>
          </w:p>
        </w:tc>
        <w:tc>
          <w:tcPr>
            <w:tcW w:w="1134"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Pr>
                <w:rFonts w:ascii="Calibri" w:hAnsi="Calibri"/>
                <w:color w:val="0000FF"/>
                <w:sz w:val="16"/>
                <w:szCs w:val="16"/>
              </w:rPr>
              <w:t>5%</w:t>
            </w:r>
          </w:p>
        </w:tc>
        <w:tc>
          <w:tcPr>
            <w:tcW w:w="1134" w:type="dxa"/>
          </w:tcPr>
          <w:p w:rsidR="008E7CF3" w:rsidRPr="00302F7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76923C" w:themeColor="accent3" w:themeShade="BF"/>
                <w:sz w:val="16"/>
                <w:szCs w:val="16"/>
              </w:rPr>
            </w:pPr>
            <w:r w:rsidRPr="00302F73">
              <w:rPr>
                <w:rFonts w:ascii="Calibri" w:hAnsi="Calibri"/>
                <w:b/>
                <w:bCs/>
                <w:color w:val="76923C" w:themeColor="accent3" w:themeShade="BF"/>
                <w:sz w:val="16"/>
                <w:szCs w:val="16"/>
              </w:rPr>
              <w:t>15%</w:t>
            </w:r>
          </w:p>
        </w:tc>
        <w:tc>
          <w:tcPr>
            <w:tcW w:w="1077"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Pr>
                <w:rFonts w:ascii="Calibri" w:hAnsi="Calibri"/>
                <w:color w:val="0000FF"/>
                <w:sz w:val="16"/>
                <w:szCs w:val="16"/>
              </w:rPr>
              <w:t>25%</w:t>
            </w:r>
          </w:p>
        </w:tc>
        <w:tc>
          <w:tcPr>
            <w:tcW w:w="1191" w:type="dxa"/>
          </w:tcPr>
          <w:p w:rsidR="008E7CF3" w:rsidRPr="00302F73" w:rsidRDefault="004A4E50"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C0504D" w:themeColor="accent2"/>
                <w:sz w:val="16"/>
                <w:szCs w:val="16"/>
              </w:rPr>
            </w:pPr>
            <w:r>
              <w:rPr>
                <w:rFonts w:ascii="Calibri" w:hAnsi="Calibri"/>
                <w:b/>
                <w:bCs/>
                <w:color w:val="C0504D" w:themeColor="accent2"/>
                <w:sz w:val="16"/>
                <w:szCs w:val="16"/>
              </w:rPr>
              <w:t>15</w:t>
            </w:r>
            <w:r w:rsidR="008E7CF3" w:rsidRPr="00302F73">
              <w:rPr>
                <w:rFonts w:ascii="Calibri" w:hAnsi="Calibri"/>
                <w:b/>
                <w:bCs/>
                <w:color w:val="C0504D" w:themeColor="accent2"/>
                <w:sz w:val="16"/>
                <w:szCs w:val="16"/>
              </w:rPr>
              <w:t>%</w:t>
            </w:r>
          </w:p>
        </w:tc>
      </w:tr>
      <w:tr w:rsidR="008E7CF3" w:rsidTr="00302F73">
        <w:trPr>
          <w:trHeight w:val="239"/>
        </w:trPr>
        <w:tc>
          <w:tcPr>
            <w:cnfStyle w:val="001000000000" w:firstRow="0" w:lastRow="0" w:firstColumn="1" w:lastColumn="0" w:oddVBand="0" w:evenVBand="0" w:oddHBand="0" w:evenHBand="0" w:firstRowFirstColumn="0" w:firstRowLastColumn="0" w:lastRowFirstColumn="0" w:lastRowLastColumn="0"/>
            <w:tcW w:w="2835" w:type="dxa"/>
          </w:tcPr>
          <w:p w:rsidR="008E7CF3" w:rsidRDefault="008E7CF3" w:rsidP="008E7CF3">
            <w:pPr>
              <w:jc w:val="left"/>
              <w:rPr>
                <w:rFonts w:ascii="Calibri" w:hAnsi="Calibri"/>
                <w:color w:val="4F6228"/>
                <w:sz w:val="16"/>
                <w:szCs w:val="16"/>
              </w:rPr>
            </w:pPr>
            <w:r>
              <w:rPr>
                <w:rFonts w:ascii="Calibri" w:hAnsi="Calibri"/>
                <w:b w:val="0"/>
                <w:bCs w:val="0"/>
                <w:color w:val="4F6228"/>
                <w:sz w:val="16"/>
                <w:szCs w:val="16"/>
              </w:rPr>
              <w:t>Global Fixed Interest</w:t>
            </w:r>
          </w:p>
        </w:tc>
        <w:tc>
          <w:tcPr>
            <w:tcW w:w="1134"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Pr>
                <w:rFonts w:ascii="Calibri" w:hAnsi="Calibri"/>
                <w:color w:val="0000FF"/>
                <w:sz w:val="16"/>
                <w:szCs w:val="16"/>
              </w:rPr>
              <w:t>0%</w:t>
            </w:r>
          </w:p>
        </w:tc>
        <w:tc>
          <w:tcPr>
            <w:tcW w:w="1134" w:type="dxa"/>
          </w:tcPr>
          <w:p w:rsidR="008E7CF3" w:rsidRPr="00302F7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76923C" w:themeColor="accent3" w:themeShade="BF"/>
                <w:sz w:val="16"/>
                <w:szCs w:val="16"/>
              </w:rPr>
            </w:pPr>
            <w:r w:rsidRPr="00302F73">
              <w:rPr>
                <w:rFonts w:ascii="Calibri" w:hAnsi="Calibri"/>
                <w:b/>
                <w:bCs/>
                <w:color w:val="76923C" w:themeColor="accent3" w:themeShade="BF"/>
                <w:sz w:val="16"/>
                <w:szCs w:val="16"/>
              </w:rPr>
              <w:t>10%</w:t>
            </w:r>
          </w:p>
        </w:tc>
        <w:tc>
          <w:tcPr>
            <w:tcW w:w="1077"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Pr>
                <w:rFonts w:ascii="Calibri" w:hAnsi="Calibri"/>
                <w:color w:val="0000FF"/>
                <w:sz w:val="16"/>
                <w:szCs w:val="16"/>
              </w:rPr>
              <w:t>20%</w:t>
            </w:r>
          </w:p>
        </w:tc>
        <w:tc>
          <w:tcPr>
            <w:tcW w:w="1191" w:type="dxa"/>
          </w:tcPr>
          <w:p w:rsidR="008E7CF3" w:rsidRPr="00302F73" w:rsidRDefault="004A4E50"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C0504D" w:themeColor="accent2"/>
                <w:sz w:val="16"/>
                <w:szCs w:val="16"/>
              </w:rPr>
            </w:pPr>
            <w:r>
              <w:rPr>
                <w:rFonts w:ascii="Calibri" w:hAnsi="Calibri"/>
                <w:b/>
                <w:bCs/>
                <w:color w:val="C0504D" w:themeColor="accent2"/>
                <w:sz w:val="16"/>
                <w:szCs w:val="16"/>
              </w:rPr>
              <w:t>10</w:t>
            </w:r>
            <w:r w:rsidR="008E7CF3" w:rsidRPr="00302F73">
              <w:rPr>
                <w:rFonts w:ascii="Calibri" w:hAnsi="Calibri"/>
                <w:b/>
                <w:bCs/>
                <w:color w:val="C0504D" w:themeColor="accent2"/>
                <w:sz w:val="16"/>
                <w:szCs w:val="16"/>
              </w:rPr>
              <w:t>%</w:t>
            </w:r>
          </w:p>
        </w:tc>
      </w:tr>
      <w:tr w:rsidR="008E7CF3" w:rsidTr="00302F73">
        <w:trPr>
          <w:trHeight w:val="220"/>
        </w:trPr>
        <w:tc>
          <w:tcPr>
            <w:cnfStyle w:val="001000000000" w:firstRow="0" w:lastRow="0" w:firstColumn="1" w:lastColumn="0" w:oddVBand="0" w:evenVBand="0" w:oddHBand="0" w:evenHBand="0" w:firstRowFirstColumn="0" w:firstRowLastColumn="0" w:lastRowFirstColumn="0" w:lastRowLastColumn="0"/>
            <w:tcW w:w="2835" w:type="dxa"/>
          </w:tcPr>
          <w:p w:rsidR="008E7CF3" w:rsidRDefault="008E7CF3" w:rsidP="008E7CF3">
            <w:pPr>
              <w:jc w:val="left"/>
              <w:rPr>
                <w:rFonts w:ascii="Calibri" w:hAnsi="Calibri"/>
                <w:color w:val="4F6228"/>
                <w:sz w:val="16"/>
                <w:szCs w:val="16"/>
              </w:rPr>
            </w:pPr>
            <w:r>
              <w:rPr>
                <w:rFonts w:ascii="Calibri" w:hAnsi="Calibri"/>
                <w:b w:val="0"/>
                <w:bCs w:val="0"/>
                <w:color w:val="4F6228"/>
                <w:sz w:val="16"/>
                <w:szCs w:val="16"/>
              </w:rPr>
              <w:t>Australian Cash</w:t>
            </w:r>
          </w:p>
        </w:tc>
        <w:tc>
          <w:tcPr>
            <w:tcW w:w="1134"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Pr>
                <w:rFonts w:ascii="Calibri" w:hAnsi="Calibri"/>
                <w:color w:val="0000FF"/>
                <w:sz w:val="16"/>
                <w:szCs w:val="16"/>
              </w:rPr>
              <w:t>0%</w:t>
            </w:r>
          </w:p>
        </w:tc>
        <w:tc>
          <w:tcPr>
            <w:tcW w:w="1134" w:type="dxa"/>
          </w:tcPr>
          <w:p w:rsidR="008E7CF3" w:rsidRPr="00302F7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76923C" w:themeColor="accent3" w:themeShade="BF"/>
                <w:sz w:val="16"/>
                <w:szCs w:val="16"/>
              </w:rPr>
            </w:pPr>
            <w:r w:rsidRPr="00302F73">
              <w:rPr>
                <w:rFonts w:ascii="Calibri" w:hAnsi="Calibri"/>
                <w:b/>
                <w:bCs/>
                <w:color w:val="76923C" w:themeColor="accent3" w:themeShade="BF"/>
                <w:sz w:val="16"/>
                <w:szCs w:val="16"/>
              </w:rPr>
              <w:t>5%</w:t>
            </w:r>
          </w:p>
        </w:tc>
        <w:tc>
          <w:tcPr>
            <w:tcW w:w="1077"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Pr>
                <w:rFonts w:ascii="Calibri" w:hAnsi="Calibri"/>
                <w:color w:val="0000FF"/>
                <w:sz w:val="16"/>
                <w:szCs w:val="16"/>
              </w:rPr>
              <w:t>15%</w:t>
            </w:r>
          </w:p>
        </w:tc>
        <w:tc>
          <w:tcPr>
            <w:tcW w:w="1191" w:type="dxa"/>
          </w:tcPr>
          <w:p w:rsidR="008E7CF3" w:rsidRPr="00FC0E60"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C0504D" w:themeColor="accent2"/>
                <w:sz w:val="16"/>
                <w:szCs w:val="16"/>
              </w:rPr>
            </w:pPr>
            <w:r w:rsidRPr="00FC0E60">
              <w:rPr>
                <w:rFonts w:ascii="Calibri" w:hAnsi="Calibri"/>
                <w:b/>
                <w:bCs/>
                <w:color w:val="C0504D" w:themeColor="accent2"/>
                <w:sz w:val="16"/>
                <w:szCs w:val="16"/>
              </w:rPr>
              <w:t>5%</w:t>
            </w:r>
          </w:p>
        </w:tc>
      </w:tr>
      <w:tr w:rsidR="008E7CF3" w:rsidTr="00302F73">
        <w:trPr>
          <w:trHeight w:val="239"/>
        </w:trPr>
        <w:tc>
          <w:tcPr>
            <w:cnfStyle w:val="001000000000" w:firstRow="0" w:lastRow="0" w:firstColumn="1" w:lastColumn="0" w:oddVBand="0" w:evenVBand="0" w:oddHBand="0" w:evenHBand="0" w:firstRowFirstColumn="0" w:firstRowLastColumn="0" w:lastRowFirstColumn="0" w:lastRowLastColumn="0"/>
            <w:tcW w:w="2835" w:type="dxa"/>
          </w:tcPr>
          <w:p w:rsidR="008E7CF3" w:rsidRDefault="008E7CF3" w:rsidP="008E7CF3">
            <w:pPr>
              <w:jc w:val="left"/>
              <w:rPr>
                <w:rFonts w:ascii="Calibri" w:hAnsi="Calibri"/>
                <w:color w:val="4F6228"/>
                <w:sz w:val="16"/>
                <w:szCs w:val="16"/>
              </w:rPr>
            </w:pPr>
            <w:r>
              <w:rPr>
                <w:rFonts w:ascii="Calibri" w:hAnsi="Calibri"/>
                <w:b w:val="0"/>
                <w:bCs w:val="0"/>
                <w:color w:val="4F6228"/>
                <w:sz w:val="16"/>
                <w:szCs w:val="16"/>
              </w:rPr>
              <w:t>Defensive Alternatives</w:t>
            </w:r>
          </w:p>
        </w:tc>
        <w:tc>
          <w:tcPr>
            <w:tcW w:w="1134"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Pr>
                <w:rFonts w:ascii="Calibri" w:hAnsi="Calibri"/>
                <w:color w:val="0000FF"/>
                <w:sz w:val="16"/>
                <w:szCs w:val="16"/>
              </w:rPr>
              <w:t>0%</w:t>
            </w:r>
          </w:p>
        </w:tc>
        <w:tc>
          <w:tcPr>
            <w:tcW w:w="1134" w:type="dxa"/>
          </w:tcPr>
          <w:p w:rsidR="008E7CF3" w:rsidRPr="00302F7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76923C" w:themeColor="accent3" w:themeShade="BF"/>
                <w:sz w:val="16"/>
                <w:szCs w:val="16"/>
              </w:rPr>
            </w:pPr>
            <w:r w:rsidRPr="00302F73">
              <w:rPr>
                <w:rFonts w:ascii="Calibri" w:hAnsi="Calibri"/>
                <w:b/>
                <w:bCs/>
                <w:color w:val="76923C" w:themeColor="accent3" w:themeShade="BF"/>
                <w:sz w:val="16"/>
                <w:szCs w:val="16"/>
              </w:rPr>
              <w:t>0%</w:t>
            </w:r>
          </w:p>
        </w:tc>
        <w:tc>
          <w:tcPr>
            <w:tcW w:w="1077"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Pr>
                <w:rFonts w:ascii="Calibri" w:hAnsi="Calibri"/>
                <w:color w:val="0000FF"/>
                <w:sz w:val="16"/>
                <w:szCs w:val="16"/>
              </w:rPr>
              <w:t>10%</w:t>
            </w:r>
          </w:p>
        </w:tc>
        <w:tc>
          <w:tcPr>
            <w:tcW w:w="1191" w:type="dxa"/>
          </w:tcPr>
          <w:p w:rsidR="008E7CF3" w:rsidRPr="00FC0E60" w:rsidRDefault="004A4E50"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C0504D" w:themeColor="accent2"/>
                <w:sz w:val="16"/>
                <w:szCs w:val="16"/>
              </w:rPr>
            </w:pPr>
            <w:r>
              <w:rPr>
                <w:rFonts w:ascii="Calibri" w:hAnsi="Calibri"/>
                <w:b/>
                <w:bCs/>
                <w:color w:val="C0504D" w:themeColor="accent2"/>
                <w:sz w:val="16"/>
                <w:szCs w:val="16"/>
              </w:rPr>
              <w:t>1</w:t>
            </w:r>
            <w:r w:rsidR="008E7CF3" w:rsidRPr="00FC0E60">
              <w:rPr>
                <w:rFonts w:ascii="Calibri" w:hAnsi="Calibri"/>
                <w:b/>
                <w:bCs/>
                <w:color w:val="C0504D" w:themeColor="accent2"/>
                <w:sz w:val="16"/>
                <w:szCs w:val="16"/>
              </w:rPr>
              <w:t>0%</w:t>
            </w:r>
          </w:p>
        </w:tc>
      </w:tr>
      <w:tr w:rsidR="008E7CF3" w:rsidTr="00302F73">
        <w:trPr>
          <w:trHeight w:val="239"/>
        </w:trPr>
        <w:tc>
          <w:tcPr>
            <w:cnfStyle w:val="001000000000" w:firstRow="0" w:lastRow="0" w:firstColumn="1" w:lastColumn="0" w:oddVBand="0" w:evenVBand="0" w:oddHBand="0" w:evenHBand="0" w:firstRowFirstColumn="0" w:firstRowLastColumn="0" w:lastRowFirstColumn="0" w:lastRowLastColumn="0"/>
            <w:tcW w:w="2835" w:type="dxa"/>
          </w:tcPr>
          <w:p w:rsidR="008E7CF3" w:rsidRDefault="008E7CF3" w:rsidP="008E7CF3">
            <w:pPr>
              <w:jc w:val="left"/>
              <w:rPr>
                <w:rFonts w:ascii="Calibri" w:hAnsi="Calibri"/>
                <w:color w:val="4F6228"/>
                <w:sz w:val="16"/>
                <w:szCs w:val="16"/>
              </w:rPr>
            </w:pPr>
            <w:r>
              <w:rPr>
                <w:rFonts w:ascii="Calibri" w:hAnsi="Calibri"/>
                <w:b w:val="0"/>
                <w:bCs w:val="0"/>
                <w:color w:val="4F6228"/>
                <w:sz w:val="16"/>
                <w:szCs w:val="16"/>
              </w:rPr>
              <w:t>SUB-TOTAL DEFENSIVE</w:t>
            </w:r>
          </w:p>
        </w:tc>
        <w:tc>
          <w:tcPr>
            <w:tcW w:w="1134"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FF"/>
                <w:sz w:val="16"/>
                <w:szCs w:val="16"/>
              </w:rPr>
            </w:pPr>
            <w:r>
              <w:rPr>
                <w:rFonts w:ascii="Calibri" w:hAnsi="Calibri"/>
                <w:b/>
                <w:bCs/>
                <w:color w:val="0000FF"/>
                <w:sz w:val="16"/>
                <w:szCs w:val="16"/>
              </w:rPr>
              <w:t>20%</w:t>
            </w:r>
          </w:p>
        </w:tc>
        <w:tc>
          <w:tcPr>
            <w:tcW w:w="1134" w:type="dxa"/>
          </w:tcPr>
          <w:p w:rsidR="008E7CF3" w:rsidRPr="00302F7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76923C" w:themeColor="accent3" w:themeShade="BF"/>
                <w:sz w:val="16"/>
                <w:szCs w:val="16"/>
              </w:rPr>
            </w:pPr>
            <w:r w:rsidRPr="00302F73">
              <w:rPr>
                <w:rFonts w:ascii="Calibri" w:hAnsi="Calibri"/>
                <w:b/>
                <w:bCs/>
                <w:color w:val="76923C" w:themeColor="accent3" w:themeShade="BF"/>
                <w:sz w:val="16"/>
                <w:szCs w:val="16"/>
              </w:rPr>
              <w:t>30%</w:t>
            </w:r>
          </w:p>
        </w:tc>
        <w:tc>
          <w:tcPr>
            <w:tcW w:w="1077"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FF"/>
                <w:sz w:val="16"/>
                <w:szCs w:val="16"/>
              </w:rPr>
            </w:pPr>
            <w:r>
              <w:rPr>
                <w:rFonts w:ascii="Calibri" w:hAnsi="Calibri"/>
                <w:b/>
                <w:bCs/>
                <w:color w:val="0000FF"/>
                <w:sz w:val="16"/>
                <w:szCs w:val="16"/>
              </w:rPr>
              <w:t>40%</w:t>
            </w:r>
          </w:p>
        </w:tc>
        <w:tc>
          <w:tcPr>
            <w:tcW w:w="1191" w:type="dxa"/>
          </w:tcPr>
          <w:p w:rsidR="008E7CF3" w:rsidRPr="00FC0E60"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C0504D" w:themeColor="accent2"/>
                <w:sz w:val="16"/>
                <w:szCs w:val="16"/>
              </w:rPr>
            </w:pPr>
            <w:r w:rsidRPr="00FC0E60">
              <w:rPr>
                <w:rFonts w:ascii="Calibri" w:hAnsi="Calibri"/>
                <w:b/>
                <w:bCs/>
                <w:color w:val="C0504D" w:themeColor="accent2"/>
                <w:sz w:val="16"/>
                <w:szCs w:val="16"/>
              </w:rPr>
              <w:t>40%</w:t>
            </w:r>
          </w:p>
        </w:tc>
      </w:tr>
      <w:tr w:rsidR="008E7CF3" w:rsidTr="00302F73">
        <w:trPr>
          <w:trHeight w:val="220"/>
        </w:trPr>
        <w:tc>
          <w:tcPr>
            <w:cnfStyle w:val="001000000000" w:firstRow="0" w:lastRow="0" w:firstColumn="1" w:lastColumn="0" w:oddVBand="0" w:evenVBand="0" w:oddHBand="0" w:evenHBand="0" w:firstRowFirstColumn="0" w:firstRowLastColumn="0" w:lastRowFirstColumn="0" w:lastRowLastColumn="0"/>
            <w:tcW w:w="2835" w:type="dxa"/>
          </w:tcPr>
          <w:p w:rsidR="008E7CF3" w:rsidRDefault="008E7CF3" w:rsidP="008E7CF3">
            <w:pPr>
              <w:jc w:val="left"/>
              <w:rPr>
                <w:rFonts w:ascii="Calibri" w:hAnsi="Calibri"/>
                <w:b w:val="0"/>
                <w:bCs w:val="0"/>
                <w:color w:val="000000"/>
                <w:sz w:val="16"/>
                <w:szCs w:val="16"/>
              </w:rPr>
            </w:pPr>
            <w:r>
              <w:rPr>
                <w:rFonts w:ascii="Calibri" w:hAnsi="Calibri"/>
                <w:b w:val="0"/>
                <w:bCs w:val="0"/>
                <w:color w:val="000000"/>
                <w:sz w:val="16"/>
                <w:szCs w:val="16"/>
              </w:rPr>
              <w:t xml:space="preserve"> </w:t>
            </w:r>
          </w:p>
        </w:tc>
        <w:tc>
          <w:tcPr>
            <w:tcW w:w="1134"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p>
        </w:tc>
        <w:tc>
          <w:tcPr>
            <w:tcW w:w="1134" w:type="dxa"/>
          </w:tcPr>
          <w:p w:rsidR="008E7CF3" w:rsidRPr="00302F7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76923C" w:themeColor="accent3" w:themeShade="BF"/>
                <w:sz w:val="16"/>
                <w:szCs w:val="16"/>
              </w:rPr>
            </w:pPr>
            <w:r w:rsidRPr="00302F73">
              <w:rPr>
                <w:rFonts w:ascii="Calibri" w:hAnsi="Calibri"/>
                <w:b/>
                <w:bCs/>
                <w:color w:val="76923C" w:themeColor="accent3" w:themeShade="BF"/>
                <w:sz w:val="16"/>
                <w:szCs w:val="16"/>
              </w:rPr>
              <w:t xml:space="preserve"> </w:t>
            </w:r>
          </w:p>
        </w:tc>
        <w:tc>
          <w:tcPr>
            <w:tcW w:w="1077"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FF"/>
                <w:sz w:val="16"/>
                <w:szCs w:val="16"/>
              </w:rPr>
            </w:pPr>
            <w:r>
              <w:rPr>
                <w:rFonts w:ascii="Calibri" w:hAnsi="Calibri"/>
                <w:color w:val="0000FF"/>
                <w:sz w:val="16"/>
                <w:szCs w:val="16"/>
              </w:rPr>
              <w:t> </w:t>
            </w:r>
          </w:p>
        </w:tc>
        <w:tc>
          <w:tcPr>
            <w:tcW w:w="1191" w:type="dxa"/>
          </w:tcPr>
          <w:p w:rsidR="008E7CF3" w:rsidRPr="00FC0E60"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C0504D" w:themeColor="accent2"/>
                <w:sz w:val="16"/>
                <w:szCs w:val="16"/>
              </w:rPr>
            </w:pPr>
            <w:r w:rsidRPr="00FC0E60">
              <w:rPr>
                <w:rFonts w:ascii="Calibri" w:hAnsi="Calibri"/>
                <w:b/>
                <w:bCs/>
                <w:color w:val="C0504D" w:themeColor="accent2"/>
                <w:sz w:val="16"/>
                <w:szCs w:val="16"/>
              </w:rPr>
              <w:t xml:space="preserve"> </w:t>
            </w:r>
          </w:p>
        </w:tc>
      </w:tr>
      <w:tr w:rsidR="008E7CF3" w:rsidTr="00302F73">
        <w:trPr>
          <w:trHeight w:val="239"/>
        </w:trPr>
        <w:tc>
          <w:tcPr>
            <w:cnfStyle w:val="001000000000" w:firstRow="0" w:lastRow="0" w:firstColumn="1" w:lastColumn="0" w:oddVBand="0" w:evenVBand="0" w:oddHBand="0" w:evenHBand="0" w:firstRowFirstColumn="0" w:firstRowLastColumn="0" w:lastRowFirstColumn="0" w:lastRowLastColumn="0"/>
            <w:tcW w:w="2835" w:type="dxa"/>
          </w:tcPr>
          <w:p w:rsidR="008E7CF3" w:rsidRDefault="008E7CF3" w:rsidP="008E7CF3">
            <w:pPr>
              <w:jc w:val="left"/>
              <w:rPr>
                <w:rFonts w:ascii="Calibri" w:hAnsi="Calibri"/>
                <w:color w:val="000000"/>
                <w:sz w:val="16"/>
                <w:szCs w:val="16"/>
              </w:rPr>
            </w:pPr>
            <w:r>
              <w:rPr>
                <w:rFonts w:ascii="Calibri" w:hAnsi="Calibri"/>
                <w:b w:val="0"/>
                <w:bCs w:val="0"/>
                <w:color w:val="000000"/>
                <w:sz w:val="16"/>
                <w:szCs w:val="16"/>
              </w:rPr>
              <w:t>GROWTH</w:t>
            </w:r>
          </w:p>
        </w:tc>
        <w:tc>
          <w:tcPr>
            <w:tcW w:w="1134"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FF"/>
                <w:sz w:val="16"/>
                <w:szCs w:val="16"/>
              </w:rPr>
            </w:pPr>
            <w:r>
              <w:rPr>
                <w:rFonts w:ascii="Calibri" w:hAnsi="Calibri"/>
                <w:b/>
                <w:bCs/>
                <w:color w:val="0000FF"/>
                <w:sz w:val="16"/>
                <w:szCs w:val="16"/>
              </w:rPr>
              <w:t>60%</w:t>
            </w:r>
          </w:p>
        </w:tc>
        <w:tc>
          <w:tcPr>
            <w:tcW w:w="1134"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70%</w:t>
            </w:r>
          </w:p>
        </w:tc>
        <w:tc>
          <w:tcPr>
            <w:tcW w:w="1077" w:type="dxa"/>
          </w:tcPr>
          <w:p w:rsidR="008E7CF3" w:rsidRDefault="00302F7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FF"/>
                <w:sz w:val="16"/>
                <w:szCs w:val="16"/>
              </w:rPr>
            </w:pPr>
            <w:r>
              <w:rPr>
                <w:rFonts w:ascii="Calibri" w:hAnsi="Calibri"/>
                <w:b/>
                <w:bCs/>
                <w:color w:val="0000FF"/>
                <w:sz w:val="16"/>
                <w:szCs w:val="16"/>
              </w:rPr>
              <w:t>80</w:t>
            </w:r>
            <w:r w:rsidR="008E7CF3">
              <w:rPr>
                <w:rFonts w:ascii="Calibri" w:hAnsi="Calibri"/>
                <w:b/>
                <w:bCs/>
                <w:color w:val="0000FF"/>
                <w:sz w:val="16"/>
                <w:szCs w:val="16"/>
              </w:rPr>
              <w:t>%</w:t>
            </w:r>
          </w:p>
        </w:tc>
        <w:tc>
          <w:tcPr>
            <w:tcW w:w="1191" w:type="dxa"/>
          </w:tcPr>
          <w:p w:rsidR="008E7CF3" w:rsidRPr="00FC0E60"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C0504D" w:themeColor="accent2"/>
                <w:sz w:val="16"/>
                <w:szCs w:val="16"/>
              </w:rPr>
            </w:pPr>
            <w:r w:rsidRPr="00FC0E60">
              <w:rPr>
                <w:rFonts w:ascii="Calibri" w:hAnsi="Calibri"/>
                <w:b/>
                <w:bCs/>
                <w:color w:val="C0504D" w:themeColor="accent2"/>
                <w:sz w:val="16"/>
                <w:szCs w:val="16"/>
              </w:rPr>
              <w:t>60%</w:t>
            </w:r>
          </w:p>
        </w:tc>
      </w:tr>
      <w:tr w:rsidR="008E7CF3" w:rsidTr="00302F73">
        <w:trPr>
          <w:trHeight w:val="239"/>
        </w:trPr>
        <w:tc>
          <w:tcPr>
            <w:cnfStyle w:val="001000000000" w:firstRow="0" w:lastRow="0" w:firstColumn="1" w:lastColumn="0" w:oddVBand="0" w:evenVBand="0" w:oddHBand="0" w:evenHBand="0" w:firstRowFirstColumn="0" w:firstRowLastColumn="0" w:lastRowFirstColumn="0" w:lastRowLastColumn="0"/>
            <w:tcW w:w="2835" w:type="dxa"/>
          </w:tcPr>
          <w:p w:rsidR="008E7CF3" w:rsidRDefault="008E7CF3" w:rsidP="008E7CF3">
            <w:pPr>
              <w:jc w:val="left"/>
              <w:rPr>
                <w:rFonts w:ascii="Calibri" w:hAnsi="Calibri"/>
                <w:b w:val="0"/>
                <w:bCs w:val="0"/>
                <w:color w:val="000000"/>
                <w:sz w:val="16"/>
                <w:szCs w:val="16"/>
              </w:rPr>
            </w:pPr>
            <w:r>
              <w:rPr>
                <w:rFonts w:ascii="Calibri" w:hAnsi="Calibri"/>
                <w:b w:val="0"/>
                <w:bCs w:val="0"/>
                <w:color w:val="000000"/>
                <w:sz w:val="16"/>
                <w:szCs w:val="16"/>
              </w:rPr>
              <w:t>DEFENSIVE</w:t>
            </w:r>
          </w:p>
        </w:tc>
        <w:tc>
          <w:tcPr>
            <w:tcW w:w="1134"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FF"/>
                <w:sz w:val="16"/>
                <w:szCs w:val="16"/>
              </w:rPr>
            </w:pPr>
            <w:r>
              <w:rPr>
                <w:rFonts w:ascii="Calibri" w:hAnsi="Calibri"/>
                <w:b/>
                <w:bCs/>
                <w:color w:val="0000FF"/>
                <w:sz w:val="16"/>
                <w:szCs w:val="16"/>
              </w:rPr>
              <w:t>20%</w:t>
            </w:r>
          </w:p>
        </w:tc>
        <w:tc>
          <w:tcPr>
            <w:tcW w:w="1134"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30%</w:t>
            </w:r>
          </w:p>
        </w:tc>
        <w:tc>
          <w:tcPr>
            <w:tcW w:w="1077" w:type="dxa"/>
          </w:tcPr>
          <w:p w:rsidR="008E7CF3" w:rsidRDefault="00302F7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FF"/>
                <w:sz w:val="16"/>
                <w:szCs w:val="16"/>
              </w:rPr>
            </w:pPr>
            <w:r>
              <w:rPr>
                <w:rFonts w:ascii="Calibri" w:hAnsi="Calibri"/>
                <w:b/>
                <w:bCs/>
                <w:color w:val="0000FF"/>
                <w:sz w:val="16"/>
                <w:szCs w:val="16"/>
              </w:rPr>
              <w:t>40</w:t>
            </w:r>
            <w:r w:rsidR="008E7CF3">
              <w:rPr>
                <w:rFonts w:ascii="Calibri" w:hAnsi="Calibri"/>
                <w:b/>
                <w:bCs/>
                <w:color w:val="0000FF"/>
                <w:sz w:val="16"/>
                <w:szCs w:val="16"/>
              </w:rPr>
              <w:t>%</w:t>
            </w:r>
          </w:p>
        </w:tc>
        <w:tc>
          <w:tcPr>
            <w:tcW w:w="1191" w:type="dxa"/>
          </w:tcPr>
          <w:p w:rsidR="008E7CF3" w:rsidRPr="00FC0E60"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C0504D" w:themeColor="accent2"/>
                <w:sz w:val="16"/>
                <w:szCs w:val="16"/>
              </w:rPr>
            </w:pPr>
            <w:r w:rsidRPr="00FC0E60">
              <w:rPr>
                <w:rFonts w:ascii="Calibri" w:hAnsi="Calibri"/>
                <w:b/>
                <w:bCs/>
                <w:color w:val="C0504D" w:themeColor="accent2"/>
                <w:sz w:val="16"/>
                <w:szCs w:val="16"/>
              </w:rPr>
              <w:t>40%</w:t>
            </w:r>
          </w:p>
        </w:tc>
      </w:tr>
      <w:tr w:rsidR="008E7CF3" w:rsidTr="00302F73">
        <w:trPr>
          <w:trHeight w:val="220"/>
        </w:trPr>
        <w:tc>
          <w:tcPr>
            <w:cnfStyle w:val="001000000000" w:firstRow="0" w:lastRow="0" w:firstColumn="1" w:lastColumn="0" w:oddVBand="0" w:evenVBand="0" w:oddHBand="0" w:evenHBand="0" w:firstRowFirstColumn="0" w:firstRowLastColumn="0" w:lastRowFirstColumn="0" w:lastRowLastColumn="0"/>
            <w:tcW w:w="2835" w:type="dxa"/>
          </w:tcPr>
          <w:p w:rsidR="008E7CF3" w:rsidRDefault="008E7CF3" w:rsidP="008E7CF3">
            <w:pPr>
              <w:jc w:val="left"/>
              <w:rPr>
                <w:rFonts w:ascii="Calibri" w:hAnsi="Calibri"/>
                <w:b w:val="0"/>
                <w:bCs w:val="0"/>
                <w:color w:val="000000"/>
                <w:sz w:val="16"/>
                <w:szCs w:val="16"/>
              </w:rPr>
            </w:pPr>
            <w:r>
              <w:rPr>
                <w:rFonts w:ascii="Calibri" w:hAnsi="Calibri"/>
                <w:b w:val="0"/>
                <w:bCs w:val="0"/>
                <w:color w:val="000000"/>
                <w:sz w:val="16"/>
                <w:szCs w:val="16"/>
              </w:rPr>
              <w:t>TOTAL PORTFOLIO</w:t>
            </w:r>
          </w:p>
        </w:tc>
        <w:tc>
          <w:tcPr>
            <w:tcW w:w="1134" w:type="dxa"/>
          </w:tcPr>
          <w:p w:rsidR="008E7CF3" w:rsidRDefault="008E7CF3" w:rsidP="008E7CF3">
            <w:pP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Pr>
                <w:rFonts w:ascii="Calibri" w:hAnsi="Calibri"/>
                <w:color w:val="000000"/>
                <w:sz w:val="16"/>
                <w:szCs w:val="16"/>
              </w:rPr>
              <w:t> </w:t>
            </w:r>
          </w:p>
        </w:tc>
        <w:tc>
          <w:tcPr>
            <w:tcW w:w="1134" w:type="dxa"/>
          </w:tcPr>
          <w:p w:rsidR="008E7CF3"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100%</w:t>
            </w:r>
          </w:p>
        </w:tc>
        <w:tc>
          <w:tcPr>
            <w:tcW w:w="1077" w:type="dxa"/>
          </w:tcPr>
          <w:p w:rsidR="008E7CF3" w:rsidRDefault="008E7CF3" w:rsidP="008E7CF3">
            <w:pPr>
              <w:jc w:val="lef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 </w:t>
            </w:r>
          </w:p>
        </w:tc>
        <w:tc>
          <w:tcPr>
            <w:tcW w:w="1191" w:type="dxa"/>
          </w:tcPr>
          <w:p w:rsidR="008E7CF3" w:rsidRPr="00FC0E60" w:rsidRDefault="008E7CF3" w:rsidP="008E7CF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C0504D" w:themeColor="accent2"/>
                <w:sz w:val="16"/>
                <w:szCs w:val="16"/>
              </w:rPr>
            </w:pPr>
            <w:r w:rsidRPr="00FC0E60">
              <w:rPr>
                <w:rFonts w:ascii="Calibri" w:hAnsi="Calibri"/>
                <w:b/>
                <w:bCs/>
                <w:color w:val="C0504D" w:themeColor="accent2"/>
                <w:sz w:val="16"/>
                <w:szCs w:val="16"/>
              </w:rPr>
              <w:t>0%</w:t>
            </w:r>
          </w:p>
        </w:tc>
      </w:tr>
    </w:tbl>
    <w:p w:rsidR="00302F73" w:rsidRDefault="004A4E50" w:rsidP="001638AE">
      <w:pPr>
        <w:spacing w:before="120" w:after="120"/>
        <w:jc w:val="left"/>
        <w:rPr>
          <w:rFonts w:ascii="Arial" w:hAnsi="Arial" w:cs="Arial"/>
          <w:sz w:val="18"/>
          <w:szCs w:val="18"/>
        </w:rPr>
      </w:pPr>
      <w:r>
        <w:rPr>
          <w:rFonts w:ascii="Arial" w:hAnsi="Arial" w:cs="Arial"/>
          <w:sz w:val="18"/>
          <w:szCs w:val="18"/>
        </w:rPr>
        <w:t>In this example, I have simply added to the Defensive Alternatives rather than add to the other asset class exposures given the low interest rate environment and the Federal Reserve in the US having a tightening bias to monetary policy at present.</w:t>
      </w:r>
    </w:p>
    <w:p w:rsidR="004A4E50" w:rsidRDefault="004A4E50" w:rsidP="001638AE">
      <w:pPr>
        <w:spacing w:before="120" w:after="120"/>
        <w:jc w:val="left"/>
        <w:rPr>
          <w:rFonts w:ascii="Arial" w:hAnsi="Arial" w:cs="Arial"/>
          <w:sz w:val="18"/>
          <w:szCs w:val="18"/>
        </w:rPr>
      </w:pPr>
      <w:r>
        <w:rPr>
          <w:rFonts w:ascii="Arial" w:hAnsi="Arial" w:cs="Arial"/>
          <w:sz w:val="18"/>
          <w:szCs w:val="18"/>
        </w:rPr>
        <w:t xml:space="preserve">Note: Hedge Funds come in many sizes and structures. Some are offered as diversified multi-manager exposures like fund of hedge funds where there are other funds that offer specific areas such as Managed Futures where there is both </w:t>
      </w:r>
      <w:r w:rsidR="00ED4E30">
        <w:rPr>
          <w:rFonts w:ascii="Arial" w:hAnsi="Arial" w:cs="Arial"/>
          <w:sz w:val="18"/>
          <w:szCs w:val="18"/>
        </w:rPr>
        <w:t xml:space="preserve">daily </w:t>
      </w:r>
      <w:r>
        <w:rPr>
          <w:rFonts w:ascii="Arial" w:hAnsi="Arial" w:cs="Arial"/>
          <w:sz w:val="18"/>
          <w:szCs w:val="18"/>
        </w:rPr>
        <w:t>liquidity in the underlying exchange traded futures contracts and ample diversity from the</w:t>
      </w:r>
      <w:r w:rsidR="00ED4E30">
        <w:rPr>
          <w:rFonts w:ascii="Arial" w:hAnsi="Arial" w:cs="Arial"/>
          <w:sz w:val="18"/>
          <w:szCs w:val="18"/>
        </w:rPr>
        <w:t xml:space="preserve"> range of </w:t>
      </w:r>
      <w:r w:rsidR="006F3637">
        <w:rPr>
          <w:rFonts w:ascii="Arial" w:hAnsi="Arial" w:cs="Arial"/>
          <w:sz w:val="18"/>
          <w:szCs w:val="18"/>
        </w:rPr>
        <w:t xml:space="preserve">traditional and non-traditional </w:t>
      </w:r>
      <w:bookmarkStart w:id="0" w:name="_GoBack"/>
      <w:bookmarkEnd w:id="0"/>
      <w:r w:rsidR="00ED4E30">
        <w:rPr>
          <w:rFonts w:ascii="Arial" w:hAnsi="Arial" w:cs="Arial"/>
          <w:sz w:val="18"/>
          <w:szCs w:val="18"/>
        </w:rPr>
        <w:t>assets covered.</w:t>
      </w:r>
      <w:r>
        <w:rPr>
          <w:rFonts w:ascii="Arial" w:hAnsi="Arial" w:cs="Arial"/>
          <w:sz w:val="18"/>
          <w:szCs w:val="18"/>
        </w:rPr>
        <w:t xml:space="preserve"> </w:t>
      </w:r>
    </w:p>
    <w:p w:rsidR="00ED4E30" w:rsidRDefault="00ED4E30" w:rsidP="001638AE">
      <w:pPr>
        <w:spacing w:before="120" w:after="120"/>
        <w:jc w:val="left"/>
        <w:rPr>
          <w:rFonts w:ascii="Arial" w:hAnsi="Arial" w:cs="Arial"/>
          <w:sz w:val="18"/>
          <w:szCs w:val="18"/>
        </w:rPr>
      </w:pPr>
      <w:r>
        <w:rPr>
          <w:rFonts w:ascii="Arial" w:hAnsi="Arial" w:cs="Arial"/>
          <w:sz w:val="18"/>
          <w:szCs w:val="18"/>
        </w:rPr>
        <w:t>Each sector of a portfolio can be constructed to provide a more diversified approach to investment markets without necessarily adding to the risk bucket. I will look at risk budgeting in my next blog.</w:t>
      </w:r>
    </w:p>
    <w:p w:rsidR="001E77B9" w:rsidRPr="00E41020" w:rsidRDefault="001E77B9" w:rsidP="001638AE">
      <w:pPr>
        <w:spacing w:before="120" w:after="120"/>
        <w:jc w:val="left"/>
        <w:rPr>
          <w:rFonts w:ascii="Arial" w:hAnsi="Arial" w:cs="Arial"/>
          <w:sz w:val="18"/>
          <w:szCs w:val="18"/>
        </w:rPr>
      </w:pPr>
      <w:r w:rsidRPr="00E41020">
        <w:rPr>
          <w:rFonts w:ascii="Arial" w:hAnsi="Arial" w:cs="Arial"/>
          <w:sz w:val="18"/>
          <w:szCs w:val="18"/>
        </w:rPr>
        <w:t xml:space="preserve">Author: </w:t>
      </w:r>
      <w:r w:rsidRPr="002546B9">
        <w:rPr>
          <w:rFonts w:ascii="Arial" w:hAnsi="Arial" w:cs="Arial"/>
          <w:b/>
          <w:sz w:val="18"/>
          <w:szCs w:val="18"/>
        </w:rPr>
        <w:t>Graham Fox, Principal Consultant, FOX Asset Management</w:t>
      </w:r>
      <w:r w:rsidR="000C6CC6">
        <w:rPr>
          <w:rFonts w:ascii="Arial" w:hAnsi="Arial" w:cs="Arial"/>
          <w:sz w:val="18"/>
          <w:szCs w:val="18"/>
        </w:rPr>
        <w:t xml:space="preserve">. </w:t>
      </w:r>
      <w:r w:rsidRPr="00E41020">
        <w:rPr>
          <w:rFonts w:ascii="Arial" w:hAnsi="Arial" w:cs="Arial"/>
          <w:sz w:val="18"/>
          <w:szCs w:val="18"/>
        </w:rPr>
        <w:t xml:space="preserve">Published </w:t>
      </w:r>
      <w:r w:rsidR="00B15351">
        <w:rPr>
          <w:rFonts w:ascii="Arial" w:hAnsi="Arial" w:cs="Arial"/>
          <w:sz w:val="18"/>
          <w:szCs w:val="18"/>
        </w:rPr>
        <w:t>7</w:t>
      </w:r>
      <w:r w:rsidR="00B15351" w:rsidRPr="00B15351">
        <w:rPr>
          <w:rFonts w:ascii="Arial" w:hAnsi="Arial" w:cs="Arial"/>
          <w:sz w:val="18"/>
          <w:szCs w:val="18"/>
          <w:vertAlign w:val="superscript"/>
        </w:rPr>
        <w:t>th</w:t>
      </w:r>
      <w:r w:rsidR="00B15351">
        <w:rPr>
          <w:rFonts w:ascii="Arial" w:hAnsi="Arial" w:cs="Arial"/>
          <w:sz w:val="18"/>
          <w:szCs w:val="18"/>
        </w:rPr>
        <w:t xml:space="preserve"> April</w:t>
      </w:r>
      <w:r w:rsidRPr="00E41020">
        <w:rPr>
          <w:rFonts w:ascii="Arial" w:hAnsi="Arial" w:cs="Arial"/>
          <w:sz w:val="18"/>
          <w:szCs w:val="18"/>
        </w:rPr>
        <w:t xml:space="preserve"> 2016</w:t>
      </w:r>
    </w:p>
    <w:p w:rsidR="000C6CC6" w:rsidRPr="0021144E" w:rsidRDefault="005B0106" w:rsidP="00E41020">
      <w:pPr>
        <w:jc w:val="left"/>
        <w:rPr>
          <w:rFonts w:ascii="Arial" w:hAnsi="Arial" w:cs="Arial"/>
          <w:sz w:val="20"/>
          <w:szCs w:val="20"/>
        </w:rPr>
      </w:pPr>
      <w:r>
        <w:rPr>
          <w:noProof/>
          <w:sz w:val="18"/>
          <w:szCs w:val="18"/>
          <w:lang w:val="en-US" w:eastAsia="zh-TW"/>
        </w:rPr>
        <w:pict>
          <v:shapetype id="_x0000_t202" coordsize="21600,21600" o:spt="202" path="m,l,21600r21600,l21600,xe">
            <v:stroke joinstyle="miter"/>
            <v:path gradientshapeok="t" o:connecttype="rect"/>
          </v:shapetype>
          <v:shape id="_x0000_s1028" type="#_x0000_t202" style="position:absolute;margin-left:-1.1pt;margin-top:.5pt;width:465.35pt;height:72.35pt;z-index:251660288;mso-height-percent:200;mso-height-percent:200;mso-width-relative:margin;mso-height-relative:margin">
            <v:textbox style="mso-fit-shape-to-text:t">
              <w:txbxContent>
                <w:p w:rsidR="000C6CC6" w:rsidRPr="000C6CC6" w:rsidRDefault="000C6CC6" w:rsidP="000C6CC6">
                  <w:pPr>
                    <w:jc w:val="both"/>
                    <w:rPr>
                      <w:rFonts w:ascii="Arial" w:hAnsi="Arial" w:cs="Arial"/>
                      <w:sz w:val="16"/>
                      <w:szCs w:val="16"/>
                    </w:rPr>
                  </w:pPr>
                  <w:r w:rsidRPr="000C6CC6">
                    <w:rPr>
                      <w:rFonts w:ascii="Arial" w:hAnsi="Arial" w:cs="Arial"/>
                      <w:b/>
                      <w:sz w:val="16"/>
                      <w:szCs w:val="16"/>
                    </w:rPr>
                    <w:t>Warnings and Disclosure:</w:t>
                  </w:r>
                  <w:r w:rsidRPr="000C6CC6">
                    <w:rPr>
                      <w:rFonts w:ascii="Arial" w:hAnsi="Arial" w:cs="Arial"/>
                      <w:sz w:val="16"/>
                      <w:szCs w:val="16"/>
                    </w:rPr>
                    <w:t xml:space="preserve"> The contents of this </w:t>
                  </w:r>
                  <w:r w:rsidR="002546B9">
                    <w:rPr>
                      <w:rFonts w:ascii="Arial" w:hAnsi="Arial" w:cs="Arial"/>
                      <w:sz w:val="16"/>
                      <w:szCs w:val="16"/>
                    </w:rPr>
                    <w:t>blog</w:t>
                  </w:r>
                  <w:r w:rsidRPr="000C6CC6">
                    <w:rPr>
                      <w:rFonts w:ascii="Arial" w:hAnsi="Arial" w:cs="Arial"/>
                      <w:sz w:val="16"/>
                      <w:szCs w:val="16"/>
                    </w:rPr>
                    <w:t xml:space="preserve"> are general advice and do not relate to the acquisition or possible acquisition of particular classes of assets or financial product(s). Before making any decision the reader should obtain and consider more information, including the Investment Statement or Product Disclosure Statement for each product and, where relevant, the reader must consider whether it is personally appropriate in light of his or her financial circumstances or should seek further advice on its appropriateness. This is not to be taken as personal advice and does not constitute a recommendation to purchase, hold, redeem or sell any product(s), and the reader should seek independent financial advice before investing in any product.</w:t>
                  </w:r>
                </w:p>
              </w:txbxContent>
            </v:textbox>
          </v:shape>
        </w:pict>
      </w:r>
    </w:p>
    <w:sectPr w:rsidR="000C6CC6" w:rsidRPr="0021144E" w:rsidSect="00884C94">
      <w:pgSz w:w="12240" w:h="15840"/>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106" w:rsidRDefault="005B0106" w:rsidP="00884C94">
      <w:r>
        <w:separator/>
      </w:r>
    </w:p>
  </w:endnote>
  <w:endnote w:type="continuationSeparator" w:id="0">
    <w:p w:rsidR="005B0106" w:rsidRDefault="005B0106" w:rsidP="0088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106" w:rsidRDefault="005B0106" w:rsidP="00884C94">
      <w:r>
        <w:separator/>
      </w:r>
    </w:p>
  </w:footnote>
  <w:footnote w:type="continuationSeparator" w:id="0">
    <w:p w:rsidR="005B0106" w:rsidRDefault="005B0106" w:rsidP="00884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0FFB"/>
    <w:multiLevelType w:val="hybridMultilevel"/>
    <w:tmpl w:val="96722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0E6BB7"/>
    <w:multiLevelType w:val="hybridMultilevel"/>
    <w:tmpl w:val="3DC62C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B32001A"/>
    <w:multiLevelType w:val="hybridMultilevel"/>
    <w:tmpl w:val="0CF8EF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6E82"/>
    <w:rsid w:val="000C6CC6"/>
    <w:rsid w:val="00101F33"/>
    <w:rsid w:val="00106674"/>
    <w:rsid w:val="001638AE"/>
    <w:rsid w:val="0016633E"/>
    <w:rsid w:val="001B0910"/>
    <w:rsid w:val="001E77B9"/>
    <w:rsid w:val="00203A7D"/>
    <w:rsid w:val="0021144E"/>
    <w:rsid w:val="00220F00"/>
    <w:rsid w:val="002370FF"/>
    <w:rsid w:val="002546B9"/>
    <w:rsid w:val="002B7CAC"/>
    <w:rsid w:val="002D5871"/>
    <w:rsid w:val="00302F73"/>
    <w:rsid w:val="00397988"/>
    <w:rsid w:val="003F3754"/>
    <w:rsid w:val="004A4E50"/>
    <w:rsid w:val="00522408"/>
    <w:rsid w:val="005230C5"/>
    <w:rsid w:val="00533A58"/>
    <w:rsid w:val="005A15FD"/>
    <w:rsid w:val="005B0106"/>
    <w:rsid w:val="00616DE7"/>
    <w:rsid w:val="00657C65"/>
    <w:rsid w:val="006C0CB4"/>
    <w:rsid w:val="006F3637"/>
    <w:rsid w:val="00754A38"/>
    <w:rsid w:val="0084626C"/>
    <w:rsid w:val="00884C94"/>
    <w:rsid w:val="008E7CF3"/>
    <w:rsid w:val="00946E82"/>
    <w:rsid w:val="009C4C43"/>
    <w:rsid w:val="00A45345"/>
    <w:rsid w:val="00AC14F8"/>
    <w:rsid w:val="00AF57BE"/>
    <w:rsid w:val="00B15351"/>
    <w:rsid w:val="00B457B8"/>
    <w:rsid w:val="00BB7547"/>
    <w:rsid w:val="00C34FDE"/>
    <w:rsid w:val="00C501E8"/>
    <w:rsid w:val="00C609F5"/>
    <w:rsid w:val="00C8092D"/>
    <w:rsid w:val="00CA73A2"/>
    <w:rsid w:val="00CE5F8F"/>
    <w:rsid w:val="00D248E2"/>
    <w:rsid w:val="00D46FC8"/>
    <w:rsid w:val="00D652BD"/>
    <w:rsid w:val="00D8253D"/>
    <w:rsid w:val="00E41020"/>
    <w:rsid w:val="00E510E6"/>
    <w:rsid w:val="00ED4E30"/>
    <w:rsid w:val="00ED7D6D"/>
    <w:rsid w:val="00EE6BBB"/>
    <w:rsid w:val="00F67E6E"/>
    <w:rsid w:val="00FC0E60"/>
    <w:rsid w:val="00FD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8A9C311"/>
  <w15:docId w15:val="{DD5BB2C7-47EF-43C2-A5D2-87E359C7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46E82"/>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21144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CE5F8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basedOn w:val="DefaultParagraphFont"/>
    <w:uiPriority w:val="19"/>
    <w:qFormat/>
    <w:rsid w:val="00E41020"/>
    <w:rPr>
      <w:rFonts w:asciiTheme="minorHAnsi" w:hAnsiTheme="minorHAnsi"/>
      <w:i/>
      <w:iCs/>
      <w:color w:val="808080" w:themeColor="text1" w:themeTint="7F"/>
      <w:sz w:val="22"/>
    </w:rPr>
  </w:style>
  <w:style w:type="paragraph" w:styleId="Quote">
    <w:name w:val="Quote"/>
    <w:basedOn w:val="Normal"/>
    <w:next w:val="Normal"/>
    <w:link w:val="QuoteChar"/>
    <w:uiPriority w:val="29"/>
    <w:qFormat/>
    <w:rsid w:val="00E41020"/>
    <w:pPr>
      <w:spacing w:after="200" w:line="276" w:lineRule="auto"/>
      <w:jc w:val="left"/>
    </w:pPr>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E41020"/>
    <w:rPr>
      <w:rFonts w:eastAsiaTheme="minorEastAsia"/>
      <w:i/>
      <w:iCs/>
      <w:color w:val="000000" w:themeColor="text1"/>
      <w:lang w:eastAsia="ja-JP"/>
    </w:rPr>
  </w:style>
  <w:style w:type="paragraph" w:styleId="BalloonText">
    <w:name w:val="Balloon Text"/>
    <w:basedOn w:val="Normal"/>
    <w:link w:val="BalloonTextChar"/>
    <w:uiPriority w:val="99"/>
    <w:semiHidden/>
    <w:unhideWhenUsed/>
    <w:rsid w:val="000C6CC6"/>
    <w:rPr>
      <w:rFonts w:ascii="Tahoma" w:hAnsi="Tahoma" w:cs="Tahoma"/>
      <w:sz w:val="16"/>
      <w:szCs w:val="16"/>
    </w:rPr>
  </w:style>
  <w:style w:type="character" w:customStyle="1" w:styleId="BalloonTextChar">
    <w:name w:val="Balloon Text Char"/>
    <w:basedOn w:val="DefaultParagraphFont"/>
    <w:link w:val="BalloonText"/>
    <w:uiPriority w:val="99"/>
    <w:semiHidden/>
    <w:rsid w:val="000C6CC6"/>
    <w:rPr>
      <w:rFonts w:ascii="Tahoma" w:hAnsi="Tahoma" w:cs="Tahoma"/>
      <w:sz w:val="16"/>
      <w:szCs w:val="16"/>
      <w:lang w:val="en-AU"/>
    </w:rPr>
  </w:style>
  <w:style w:type="paragraph" w:styleId="Header">
    <w:name w:val="header"/>
    <w:basedOn w:val="Normal"/>
    <w:link w:val="HeaderChar"/>
    <w:uiPriority w:val="99"/>
    <w:unhideWhenUsed/>
    <w:rsid w:val="00884C94"/>
    <w:pPr>
      <w:tabs>
        <w:tab w:val="center" w:pos="4513"/>
        <w:tab w:val="right" w:pos="9026"/>
      </w:tabs>
    </w:pPr>
  </w:style>
  <w:style w:type="character" w:customStyle="1" w:styleId="HeaderChar">
    <w:name w:val="Header Char"/>
    <w:basedOn w:val="DefaultParagraphFont"/>
    <w:link w:val="Header"/>
    <w:uiPriority w:val="99"/>
    <w:rsid w:val="00884C94"/>
    <w:rPr>
      <w:lang w:val="en-AU"/>
    </w:rPr>
  </w:style>
  <w:style w:type="paragraph" w:styleId="Footer">
    <w:name w:val="footer"/>
    <w:basedOn w:val="Normal"/>
    <w:link w:val="FooterChar"/>
    <w:uiPriority w:val="99"/>
    <w:unhideWhenUsed/>
    <w:rsid w:val="00884C94"/>
    <w:pPr>
      <w:tabs>
        <w:tab w:val="center" w:pos="4513"/>
        <w:tab w:val="right" w:pos="9026"/>
      </w:tabs>
    </w:pPr>
  </w:style>
  <w:style w:type="character" w:customStyle="1" w:styleId="FooterChar">
    <w:name w:val="Footer Char"/>
    <w:basedOn w:val="DefaultParagraphFont"/>
    <w:link w:val="Footer"/>
    <w:uiPriority w:val="99"/>
    <w:rsid w:val="00884C94"/>
    <w:rPr>
      <w:lang w:val="en-AU"/>
    </w:rPr>
  </w:style>
  <w:style w:type="paragraph" w:styleId="ListParagraph">
    <w:name w:val="List Paragraph"/>
    <w:basedOn w:val="Normal"/>
    <w:uiPriority w:val="34"/>
    <w:qFormat/>
    <w:rsid w:val="00D248E2"/>
    <w:pPr>
      <w:ind w:left="720"/>
      <w:contextualSpacing/>
    </w:pPr>
  </w:style>
  <w:style w:type="table" w:styleId="TableGrid">
    <w:name w:val="Table Grid"/>
    <w:basedOn w:val="TableNormal"/>
    <w:uiPriority w:val="59"/>
    <w:rsid w:val="00B45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457B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4062">
      <w:bodyDiv w:val="1"/>
      <w:marLeft w:val="0"/>
      <w:marRight w:val="0"/>
      <w:marTop w:val="0"/>
      <w:marBottom w:val="0"/>
      <w:divBdr>
        <w:top w:val="none" w:sz="0" w:space="0" w:color="auto"/>
        <w:left w:val="none" w:sz="0" w:space="0" w:color="auto"/>
        <w:bottom w:val="none" w:sz="0" w:space="0" w:color="auto"/>
        <w:right w:val="none" w:sz="0" w:space="0" w:color="auto"/>
      </w:divBdr>
    </w:div>
    <w:div w:id="212693910">
      <w:bodyDiv w:val="1"/>
      <w:marLeft w:val="0"/>
      <w:marRight w:val="0"/>
      <w:marTop w:val="0"/>
      <w:marBottom w:val="0"/>
      <w:divBdr>
        <w:top w:val="none" w:sz="0" w:space="0" w:color="auto"/>
        <w:left w:val="none" w:sz="0" w:space="0" w:color="auto"/>
        <w:bottom w:val="none" w:sz="0" w:space="0" w:color="auto"/>
        <w:right w:val="none" w:sz="0" w:space="0" w:color="auto"/>
      </w:divBdr>
    </w:div>
    <w:div w:id="427651995">
      <w:bodyDiv w:val="1"/>
      <w:marLeft w:val="0"/>
      <w:marRight w:val="0"/>
      <w:marTop w:val="0"/>
      <w:marBottom w:val="0"/>
      <w:divBdr>
        <w:top w:val="none" w:sz="0" w:space="0" w:color="auto"/>
        <w:left w:val="none" w:sz="0" w:space="0" w:color="auto"/>
        <w:bottom w:val="none" w:sz="0" w:space="0" w:color="auto"/>
        <w:right w:val="none" w:sz="0" w:space="0" w:color="auto"/>
      </w:divBdr>
    </w:div>
    <w:div w:id="142561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Fox Asset Management</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Fox</dc:creator>
  <cp:lastModifiedBy>Graham Fox</cp:lastModifiedBy>
  <cp:revision>8</cp:revision>
  <dcterms:created xsi:type="dcterms:W3CDTF">2016-04-07T02:05:00Z</dcterms:created>
  <dcterms:modified xsi:type="dcterms:W3CDTF">2016-04-07T06:03:00Z</dcterms:modified>
</cp:coreProperties>
</file>